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17"/>
        </w:rPr>
      </w:pPr>
    </w:p>
    <w:p>
      <w:pPr>
        <w:spacing w:before="100"/>
        <w:ind w:left="100" w:right="0" w:firstLine="0"/>
        <w:jc w:val="left"/>
        <w:rPr>
          <w:rFonts w:ascii="Arial Black"/>
          <w:sz w:val="72"/>
        </w:rPr>
      </w:pPr>
      <w:r>
        <w:rPr>
          <w:rFonts w:ascii="Arial Black"/>
          <w:sz w:val="72"/>
        </w:rPr>
        <w:t>PROPOSAL</w:t>
      </w:r>
    </w:p>
    <w:p>
      <w:pPr>
        <w:spacing w:before="17"/>
        <w:ind w:left="100" w:right="0" w:firstLine="0"/>
        <w:jc w:val="left"/>
        <w:rPr>
          <w:sz w:val="32"/>
        </w:rPr>
      </w:pPr>
      <w:r>
        <w:rPr>
          <w:color w:val="0087CD"/>
          <w:sz w:val="32"/>
        </w:rPr>
        <w:t>Big Ten Student Design Challenge</w:t>
      </w:r>
    </w:p>
    <w:p>
      <w:pPr>
        <w:spacing w:before="170"/>
        <w:ind w:left="100" w:right="0" w:firstLine="0"/>
        <w:jc w:val="left"/>
        <w:rPr>
          <w:b/>
          <w:sz w:val="28"/>
        </w:rPr>
      </w:pPr>
      <w:r>
        <w:rPr>
          <w:b/>
          <w:color w:val="7F7F7F"/>
          <w:sz w:val="28"/>
        </w:rPr>
        <w:t>University of Illinois at Urbana-Champaign | Superstudio</w:t>
      </w:r>
    </w:p>
    <w:p>
      <w:pPr>
        <w:pStyle w:val="Heading2"/>
        <w:spacing w:line="328" w:lineRule="auto" w:before="118"/>
        <w:ind w:right="8089"/>
      </w:pPr>
      <w:r>
        <w:rPr>
          <w:color w:val="7F7F7F"/>
        </w:rPr>
        <w:t>Estefany Chavez-Ruiz David Figueroa</w:t>
      </w:r>
    </w:p>
    <w:p>
      <w:pPr>
        <w:spacing w:line="320" w:lineRule="exact" w:before="0"/>
        <w:ind w:left="100" w:right="0" w:firstLine="0"/>
        <w:jc w:val="left"/>
        <w:rPr>
          <w:sz w:val="28"/>
        </w:rPr>
      </w:pPr>
      <w:r>
        <w:rPr>
          <w:color w:val="7F7F7F"/>
          <w:sz w:val="28"/>
        </w:rPr>
        <w:t>Harjot Sidhu</w:t>
      </w:r>
    </w:p>
    <w:p>
      <w:pPr>
        <w:pStyle w:val="BodyText"/>
        <w:rPr>
          <w:sz w:val="30"/>
        </w:rPr>
      </w:pPr>
    </w:p>
    <w:p>
      <w:pPr>
        <w:pStyle w:val="BodyText"/>
        <w:rPr>
          <w:sz w:val="30"/>
        </w:rPr>
      </w:pPr>
    </w:p>
    <w:p>
      <w:pPr>
        <w:spacing w:before="253"/>
        <w:ind w:left="100" w:right="0" w:firstLine="0"/>
        <w:jc w:val="left"/>
        <w:rPr>
          <w:b/>
          <w:sz w:val="36"/>
        </w:rPr>
      </w:pPr>
      <w:r>
        <w:rPr>
          <w:b/>
          <w:color w:val="0087CD"/>
          <w:sz w:val="36"/>
        </w:rPr>
        <w:t>VISION</w:t>
      </w:r>
    </w:p>
    <w:p>
      <w:pPr>
        <w:pStyle w:val="BodyText"/>
        <w:spacing w:before="4"/>
        <w:rPr>
          <w:b/>
          <w:sz w:val="11"/>
        </w:rPr>
      </w:pPr>
      <w:r>
        <w:rPr/>
        <w:pict>
          <v:line style="position:absolute;mso-position-horizontal-relative:page;mso-position-vertical-relative:paragraph;z-index:-1024;mso-wrap-distance-left:0;mso-wrap-distance-right:0" from="54pt,9.650189pt" to="558pt,9.650189pt" stroked="true" strokeweight="2.25pt" strokecolor="#939598">
            <v:stroke dashstyle="solid"/>
            <w10:wrap type="topAndBottom"/>
          </v:line>
        </w:pict>
      </w:r>
    </w:p>
    <w:p>
      <w:pPr>
        <w:pStyle w:val="BodyText"/>
        <w:spacing w:before="7"/>
        <w:rPr>
          <w:b/>
          <w:sz w:val="44"/>
        </w:rPr>
      </w:pPr>
    </w:p>
    <w:p>
      <w:pPr>
        <w:pStyle w:val="BodyText"/>
        <w:spacing w:line="278" w:lineRule="auto"/>
        <w:ind w:left="100" w:right="836"/>
      </w:pPr>
      <w:r>
        <w:rPr/>
        <w:t>The Foreign Language Building is right off the main quad and one that most students are familiar with through language classes, student organization meetings, and cultural events that take place inside. This building is used around the clock throughout the week by students for reasons ranging from foreign film screenings to gathering for group projects. Our vision is for this space to acknowledge its prime location through furnishings that allow flexibility to accommodate the variety of happenings that the student body participates in this spot. </w:t>
      </w:r>
      <w:r>
        <w:rPr>
          <w:spacing w:val="-3"/>
        </w:rPr>
        <w:t>We </w:t>
      </w:r>
      <w:r>
        <w:rPr/>
        <w:t>plan to pursue this through multifunctional furniture that students can move themselves.</w:t>
      </w:r>
      <w:r>
        <w:rPr>
          <w:spacing w:val="-5"/>
        </w:rPr>
        <w:t> Tables </w:t>
      </w:r>
      <w:r>
        <w:rPr/>
        <w:t>and chairs and vital for productive work </w:t>
      </w:r>
      <w:r>
        <w:rPr>
          <w:spacing w:val="-3"/>
        </w:rPr>
        <w:t>flow, </w:t>
      </w:r>
      <w:r>
        <w:rPr/>
        <w:t>couches and coffee tables for socializing and decompressing —both weekday and weekend attributes.</w:t>
      </w:r>
    </w:p>
    <w:p>
      <w:pPr>
        <w:pStyle w:val="BodyText"/>
        <w:spacing w:before="10"/>
        <w:rPr>
          <w:sz w:val="14"/>
        </w:rPr>
      </w:pPr>
      <w:r>
        <w:rPr/>
        <w:drawing>
          <wp:anchor distT="0" distB="0" distL="0" distR="0" allowOverlap="1" layoutInCell="1" locked="0" behindDoc="1" simplePos="0" relativeHeight="268434455">
            <wp:simplePos x="0" y="0"/>
            <wp:positionH relativeFrom="page">
              <wp:posOffset>1897075</wp:posOffset>
            </wp:positionH>
            <wp:positionV relativeFrom="paragraph">
              <wp:posOffset>133342</wp:posOffset>
            </wp:positionV>
            <wp:extent cx="3959646" cy="265737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959646" cy="2657379"/>
                    </a:xfrm>
                    <a:prstGeom prst="rect">
                      <a:avLst/>
                    </a:prstGeom>
                  </pic:spPr>
                </pic:pic>
              </a:graphicData>
            </a:graphic>
          </wp:anchor>
        </w:drawing>
      </w:r>
    </w:p>
    <w:p>
      <w:pPr>
        <w:spacing w:after="0"/>
        <w:rPr>
          <w:sz w:val="14"/>
        </w:rPr>
        <w:sectPr>
          <w:headerReference w:type="default" r:id="rId5"/>
          <w:footerReference w:type="default" r:id="rId6"/>
          <w:type w:val="continuous"/>
          <w:pgSz w:w="12240" w:h="15840"/>
          <w:pgMar w:header="580" w:footer="1141" w:top="1140" w:bottom="1340" w:left="980" w:right="280"/>
          <w:pgNumType w:start="1"/>
        </w:sectPr>
      </w:pPr>
    </w:p>
    <w:p>
      <w:pPr>
        <w:pStyle w:val="BodyText"/>
        <w:spacing w:before="2"/>
        <w:rPr>
          <w:sz w:val="25"/>
        </w:rPr>
      </w:pPr>
    </w:p>
    <w:p>
      <w:pPr>
        <w:pStyle w:val="Heading1"/>
      </w:pPr>
      <w:r>
        <w:rPr>
          <w:color w:val="0087CD"/>
        </w:rPr>
        <w:t>DESCRIPTION</w:t>
      </w:r>
    </w:p>
    <w:p>
      <w:pPr>
        <w:pStyle w:val="BodyText"/>
        <w:spacing w:before="10"/>
        <w:rPr>
          <w:b/>
          <w:sz w:val="11"/>
        </w:rPr>
      </w:pPr>
      <w:r>
        <w:rPr/>
        <w:pict>
          <v:line style="position:absolute;mso-position-horizontal-relative:page;mso-position-vertical-relative:paragraph;z-index:-976;mso-wrap-distance-left:0;mso-wrap-distance-right:0" from="54pt,9.937478pt" to="558pt,9.937478pt" stroked="true" strokeweight="2.25pt" strokecolor="#939598">
            <v:stroke dashstyle="solid"/>
            <w10:wrap type="topAndBottom"/>
          </v:line>
        </w:pict>
      </w:r>
    </w:p>
    <w:p>
      <w:pPr>
        <w:pStyle w:val="BodyText"/>
        <w:spacing w:before="2"/>
        <w:rPr>
          <w:b/>
          <w:sz w:val="44"/>
        </w:rPr>
      </w:pPr>
    </w:p>
    <w:p>
      <w:pPr>
        <w:pStyle w:val="BodyText"/>
        <w:spacing w:line="278" w:lineRule="auto"/>
        <w:ind w:left="100" w:right="808"/>
      </w:pPr>
      <w:r>
        <w:rPr/>
        <w:t>Our vision for this space is very fluid and adaptable to the varying ways the we see our fellow students shift from work mode to relaxation. Through this observation, we wanted to bring pieces that reflect this lifestyle. </w:t>
      </w:r>
      <w:r>
        <w:rPr>
          <w:spacing w:val="-3"/>
        </w:rPr>
        <w:t>We </w:t>
      </w:r>
      <w:r>
        <w:rPr/>
        <w:t>incorporated the Swoop Armless Chair with elements like the Keyn Chair to bring harmony to the space and provide furnishings that act as the perfect platform for students to go about settling in or stopping by for a quick sit. We’ll walk through</w:t>
      </w:r>
      <w:r>
        <w:rPr>
          <w:spacing w:val="-13"/>
        </w:rPr>
        <w:t> </w:t>
      </w:r>
      <w:r>
        <w:rPr/>
        <w:t>the floor plan from left to right — from lounge to </w:t>
      </w:r>
      <w:r>
        <w:rPr>
          <w:spacing w:val="-4"/>
        </w:rPr>
        <w:t>study. </w:t>
      </w:r>
      <w:r>
        <w:rPr/>
        <w:t>On the left as you enter this corner spot, you’ll see the Swoop Armless Chair in an orange hue paired with wooden Swoop Box </w:t>
      </w:r>
      <w:r>
        <w:rPr>
          <w:spacing w:val="-5"/>
        </w:rPr>
        <w:t>Tables</w:t>
      </w:r>
      <w:r>
        <w:rPr>
          <w:spacing w:val="-18"/>
        </w:rPr>
        <w:t> </w:t>
      </w:r>
      <w:r>
        <w:rPr/>
        <w:t>to define this area as a place to kick back with a computer on your lap and an iced coffee on the table or catch up with a friend in between classes. Across from the Swoop Pairing are two Always Lounge Chairs along with a blue Drum Pouf. The Always Lounge Chairs are placed at the most visible corner since they look great from every angle, adding to the aesthetics of the space. The slim and light legs of the Always Lounge chairs bring an airy feel to the area and invites students to take a seat in this elegantly simple </w:t>
      </w:r>
      <w:r>
        <w:rPr>
          <w:spacing w:val="-3"/>
        </w:rPr>
        <w:t>chair. </w:t>
      </w:r>
      <w:r>
        <w:rPr/>
        <w:t>Placing a Drum Pouf between the Always Lounge Chairs brings a more relaxed ambiance to this corner, designating it as the ultimate chill section of this spot. Moving towards the middle we wanted to keep this space open since it would allow student flow and flexibility for the furniture to move as well. The Always Lounge Chair is repeated here but paired with a Circular Knot </w:t>
      </w:r>
      <w:r>
        <w:rPr>
          <w:spacing w:val="-5"/>
        </w:rPr>
        <w:t>Table. </w:t>
      </w:r>
      <w:r>
        <w:rPr/>
        <w:t>This provides a subtle nudge towards productivity with the Knot </w:t>
      </w:r>
      <w:r>
        <w:rPr>
          <w:spacing w:val="-6"/>
        </w:rPr>
        <w:t>Table </w:t>
      </w:r>
      <w:r>
        <w:rPr/>
        <w:t>providing a platform for a quick snack and laptop to sit on. The Knot </w:t>
      </w:r>
      <w:r>
        <w:rPr>
          <w:spacing w:val="-6"/>
        </w:rPr>
        <w:t>Table </w:t>
      </w:r>
      <w:r>
        <w:rPr/>
        <w:t>is one of our favorites, having an elegant and functional top with a playful and vibrant bottom. Once we reach the right end of our space, it is work time. The Square Foldaway </w:t>
      </w:r>
      <w:r>
        <w:rPr>
          <w:spacing w:val="-5"/>
        </w:rPr>
        <w:t>Tables </w:t>
      </w:r>
      <w:r>
        <w:rPr/>
        <w:t>fit with our multifunctional vision. They can be left open with Keyn Chairs presenting a full platform to have group study sessions varying from 2-6</w:t>
      </w:r>
      <w:r>
        <w:rPr>
          <w:spacing w:val="-4"/>
        </w:rPr>
        <w:t> </w:t>
      </w:r>
      <w:r>
        <w:rPr/>
        <w:t>people.</w:t>
      </w:r>
    </w:p>
    <w:p>
      <w:pPr>
        <w:pStyle w:val="BodyText"/>
        <w:spacing w:line="278" w:lineRule="auto" w:before="17"/>
        <w:ind w:left="100" w:right="836"/>
      </w:pPr>
      <w:r>
        <w:rPr/>
        <w:t>This area also will include a Glass White Board for a sleek way to work out problems in a group and display any current events or happenings in the building since it can be viewed by those in the space as well as by anyone passing </w:t>
      </w:r>
      <w:r>
        <w:rPr>
          <w:spacing w:val="-6"/>
        </w:rPr>
        <w:t>by. </w:t>
      </w:r>
      <w:r>
        <w:rPr/>
        <w:t>For events that call for more open space, the Keyn Chairs can be staked and stored in a corner and the Square Foldaway </w:t>
      </w:r>
      <w:r>
        <w:rPr>
          <w:spacing w:val="-5"/>
        </w:rPr>
        <w:t>Tables </w:t>
      </w:r>
      <w:r>
        <w:rPr/>
        <w:t>can be efficiently set aside. Overall, this space can comfortably fit 15 students and cater to their</w:t>
      </w:r>
      <w:r>
        <w:rPr>
          <w:spacing w:val="-14"/>
        </w:rPr>
        <w:t> </w:t>
      </w:r>
      <w:r>
        <w:rPr/>
        <w:t>needs whether its finding a study spot, waiting while friends are in class, or lounging</w:t>
      </w:r>
      <w:r>
        <w:rPr>
          <w:spacing w:val="-5"/>
        </w:rPr>
        <w:t> </w:t>
      </w:r>
      <w:r>
        <w:rPr/>
        <w:t>around.</w:t>
      </w:r>
    </w:p>
    <w:p>
      <w:pPr>
        <w:spacing w:after="0" w:line="278" w:lineRule="auto"/>
        <w:sectPr>
          <w:pgSz w:w="12240" w:h="15840"/>
          <w:pgMar w:header="580" w:footer="1141" w:top="1140" w:bottom="1340" w:left="98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78" w:lineRule="auto" w:before="230"/>
        <w:ind w:left="5900" w:right="835"/>
      </w:pPr>
      <w:r>
        <w:rPr/>
        <w:pict>
          <v:group style="position:absolute;margin-left:54.056499pt;margin-top:-251.187912pt;width:480.3pt;height:459.85pt;mso-position-horizontal-relative:page;mso-position-vertical-relative:paragraph;z-index:-7600" coordorigin="1081,-5024" coordsize="9606,9197">
            <v:shape style="position:absolute;left:1086;top:-5024;width:9601;height:5002" type="#_x0000_t75" stroked="false">
              <v:imagedata r:id="rId8" o:title=""/>
            </v:shape>
            <v:shape style="position:absolute;left:1081;top:37;width:5562;height:4136" type="#_x0000_t75" stroked="false">
              <v:imagedata r:id="rId9" o:title=""/>
            </v:shape>
            <w10:wrap type="none"/>
          </v:group>
        </w:pict>
      </w:r>
      <w:r>
        <w:rPr/>
        <w:t>Being that our space is in the basement, we’d like to bring life into this spot through plants. Keeping the table surfaces clear for students to use, we will utilize the walls and hanging spaces to suspend air plants and</w:t>
      </w:r>
      <w:r>
        <w:rPr>
          <w:spacing w:val="-1"/>
        </w:rPr>
        <w:t> </w:t>
      </w:r>
      <w:r>
        <w:rPr/>
        <w:t>succulents.</w:t>
      </w:r>
    </w:p>
    <w:p>
      <w:pPr>
        <w:pStyle w:val="BodyText"/>
        <w:spacing w:line="278" w:lineRule="auto"/>
        <w:ind w:left="5900" w:right="1337"/>
      </w:pPr>
      <w:r>
        <w:rPr/>
        <w:t>These plants also help improve the indoor air quality and connect the outdoors to this basement spot.</w:t>
      </w:r>
    </w:p>
    <w:p>
      <w:pPr>
        <w:pStyle w:val="BodyText"/>
        <w:spacing w:line="283" w:lineRule="auto"/>
        <w:ind w:left="5900" w:right="1017"/>
      </w:pPr>
      <w:r>
        <w:rPr/>
        <w:t>Keeping with the worldly activities and events that take place in the building, we wanted to showcase the diverse student body that comes through this</w:t>
      </w:r>
    </w:p>
    <w:p>
      <w:pPr>
        <w:pStyle w:val="BodyText"/>
        <w:spacing w:line="278" w:lineRule="auto"/>
        <w:ind w:left="100" w:right="786" w:firstLine="5600"/>
      </w:pPr>
      <w:r>
        <w:rPr/>
        <w:t>spot by having an interactive push-pin world map. It offers both a dynamic element to the space allowing students to display their representation and as a sophisticated piece of ever-evolving wall art. In the middle of our space, we decided to keep it open and offer a change in flooring by adding a round rug. This offers variety and a cozier feel to the center open space. There is also a column that interrupts the space that we have decided to utilize as a bar table area. Adding an elevated wooden table around the column and bar stools lightens up this area while also upping its usability.</w:t>
      </w:r>
    </w:p>
    <w:p>
      <w:pPr>
        <w:spacing w:after="0" w:line="278" w:lineRule="auto"/>
        <w:sectPr>
          <w:pgSz w:w="12240" w:h="15840"/>
          <w:pgMar w:header="580" w:footer="1141" w:top="1140" w:bottom="1340" w:left="980" w:right="280"/>
        </w:sectPr>
      </w:pPr>
    </w:p>
    <w:p>
      <w:pPr>
        <w:pStyle w:val="BodyText"/>
        <w:ind w:left="1992"/>
        <w:rPr>
          <w:sz w:val="20"/>
        </w:rPr>
      </w:pPr>
      <w:r>
        <w:rPr>
          <w:sz w:val="20"/>
        </w:rPr>
        <w:drawing>
          <wp:inline distT="0" distB="0" distL="0" distR="0">
            <wp:extent cx="5143502" cy="3978497"/>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5143502" cy="3978497"/>
                    </a:xfrm>
                    <a:prstGeom prst="rect">
                      <a:avLst/>
                    </a:prstGeom>
                  </pic:spPr>
                </pic:pic>
              </a:graphicData>
            </a:graphic>
          </wp:inline>
        </w:drawing>
      </w:r>
      <w:r>
        <w:rPr>
          <w:sz w:val="20"/>
        </w:rPr>
      </w:r>
    </w:p>
    <w:p>
      <w:pPr>
        <w:pStyle w:val="BodyText"/>
        <w:spacing w:before="2"/>
        <w:rPr>
          <w:sz w:val="20"/>
        </w:rPr>
      </w:pPr>
    </w:p>
    <w:p>
      <w:pPr>
        <w:pStyle w:val="BodyText"/>
        <w:spacing w:line="278" w:lineRule="auto" w:before="92"/>
        <w:ind w:left="100" w:right="5724"/>
      </w:pPr>
      <w:r>
        <w:rPr/>
        <w:drawing>
          <wp:anchor distT="0" distB="0" distL="0" distR="0" allowOverlap="1" layoutInCell="1" locked="0" behindDoc="0" simplePos="0" relativeHeight="1120">
            <wp:simplePos x="0" y="0"/>
            <wp:positionH relativeFrom="page">
              <wp:posOffset>4140530</wp:posOffset>
            </wp:positionH>
            <wp:positionV relativeFrom="paragraph">
              <wp:posOffset>274826</wp:posOffset>
            </wp:positionV>
            <wp:extent cx="3386963" cy="2569197"/>
            <wp:effectExtent l="0" t="0" r="0" b="0"/>
            <wp:wrapNone/>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3386963" cy="2569197"/>
                    </a:xfrm>
                    <a:prstGeom prst="rect">
                      <a:avLst/>
                    </a:prstGeom>
                  </pic:spPr>
                </pic:pic>
              </a:graphicData>
            </a:graphic>
          </wp:anchor>
        </w:drawing>
      </w:r>
      <w:r>
        <w:rPr/>
        <w:t>For our flooring we decided to go with a silver umber gray oak laminate. It is categorized as an AC5 rated flooring, making it a great choice for public buildings and areas of heavy traffic like our space. This color and finishing complements the furnishings that we have chosen while still letting the furniture have prime spotlight. This flooring allows for the furnishings to cleanly move and elevates the flexibility of the space.</w:t>
      </w:r>
    </w:p>
    <w:p>
      <w:pPr>
        <w:pStyle w:val="BodyText"/>
        <w:spacing w:line="280" w:lineRule="auto"/>
        <w:ind w:left="100" w:right="5688"/>
      </w:pPr>
      <w:r>
        <w:rPr/>
        <w:t>The walls will be simple with white and navy blue to act as the canvas for our choice of wall accessories. There is also a non-structural CMU partition wall that boxes off the space. </w:t>
      </w:r>
      <w:r>
        <w:rPr>
          <w:spacing w:val="-3"/>
        </w:rPr>
        <w:t>We </w:t>
      </w:r>
      <w:r>
        <w:rPr/>
        <w:t>plan to remove this partition to open up the space and have less of a literal wall that impedes</w:t>
      </w:r>
      <w:r>
        <w:rPr>
          <w:spacing w:val="-2"/>
        </w:rPr>
        <w:t> </w:t>
      </w:r>
      <w:r>
        <w:rPr>
          <w:spacing w:val="-3"/>
        </w:rPr>
        <w:t>flow.</w:t>
      </w:r>
    </w:p>
    <w:p>
      <w:pPr>
        <w:spacing w:after="0" w:line="280" w:lineRule="auto"/>
        <w:sectPr>
          <w:pgSz w:w="12240" w:h="15840"/>
          <w:pgMar w:header="580" w:footer="1141" w:top="1140" w:bottom="1340" w:left="980" w:right="280"/>
        </w:sectPr>
      </w:pPr>
    </w:p>
    <w:p>
      <w:pPr>
        <w:pStyle w:val="BodyText"/>
        <w:spacing w:before="2"/>
        <w:rPr>
          <w:sz w:val="25"/>
        </w:rPr>
      </w:pPr>
    </w:p>
    <w:p>
      <w:pPr>
        <w:pStyle w:val="Heading1"/>
      </w:pPr>
      <w:r>
        <w:rPr>
          <w:color w:val="0087CD"/>
        </w:rPr>
        <w:t>ITEMIZED EXPENSES</w:t>
      </w:r>
    </w:p>
    <w:p>
      <w:pPr>
        <w:pStyle w:val="BodyText"/>
        <w:spacing w:before="10"/>
        <w:rPr>
          <w:b/>
          <w:sz w:val="11"/>
        </w:rPr>
      </w:pPr>
      <w:r>
        <w:rPr/>
        <w:pict>
          <v:line style="position:absolute;mso-position-horizontal-relative:page;mso-position-vertical-relative:paragraph;z-index:-904;mso-wrap-distance-left:0;mso-wrap-distance-right:0" from="54pt,9.937478pt" to="558pt,9.937478pt" stroked="true" strokeweight="2.25pt" strokecolor="#939598">
            <v:stroke dashstyle="solid"/>
            <w10:wrap type="topAndBottom"/>
          </v:line>
        </w:pict>
      </w:r>
    </w:p>
    <w:p>
      <w:pPr>
        <w:pStyle w:val="BodyText"/>
        <w:spacing w:before="4"/>
        <w:rPr>
          <w:b/>
          <w:sz w:val="44"/>
        </w:rPr>
      </w:pPr>
    </w:p>
    <w:p>
      <w:pPr>
        <w:pStyle w:val="Heading2"/>
      </w:pPr>
      <w:r>
        <w:rPr>
          <w:color w:val="262626"/>
        </w:rPr>
        <w:t>FROM HERMAN MILLER CUSTOM CATALOG</w:t>
      </w:r>
    </w:p>
    <w:p>
      <w:pPr>
        <w:pStyle w:val="BodyText"/>
        <w:rPr>
          <w:sz w:val="20"/>
        </w:rPr>
      </w:pPr>
    </w:p>
    <w:p>
      <w:pPr>
        <w:pStyle w:val="BodyText"/>
        <w:spacing w:after="1"/>
        <w:rPr>
          <w:sz w:val="28"/>
        </w:rPr>
      </w:pPr>
    </w:p>
    <w:tbl>
      <w:tblPr>
        <w:tblW w:w="0" w:type="auto"/>
        <w:jc w:val="left"/>
        <w:tblInd w:w="102" w:type="dxa"/>
        <w:tblBorders>
          <w:top w:val="single" w:sz="2" w:space="0" w:color="F0F0F0"/>
          <w:left w:val="single" w:sz="2" w:space="0" w:color="F0F0F0"/>
          <w:bottom w:val="single" w:sz="2" w:space="0" w:color="F0F0F0"/>
          <w:right w:val="single" w:sz="2" w:space="0" w:color="F0F0F0"/>
          <w:insideH w:val="single" w:sz="2" w:space="0" w:color="F0F0F0"/>
          <w:insideV w:val="single" w:sz="2" w:space="0" w:color="F0F0F0"/>
        </w:tblBorders>
        <w:tblLayout w:type="fixed"/>
        <w:tblCellMar>
          <w:top w:w="0" w:type="dxa"/>
          <w:left w:w="0" w:type="dxa"/>
          <w:bottom w:w="0" w:type="dxa"/>
          <w:right w:w="0" w:type="dxa"/>
        </w:tblCellMar>
        <w:tblLook w:val="01E0"/>
      </w:tblPr>
      <w:tblGrid>
        <w:gridCol w:w="7109"/>
        <w:gridCol w:w="1444"/>
        <w:gridCol w:w="1378"/>
      </w:tblGrid>
      <w:tr>
        <w:trPr>
          <w:trHeight w:val="432" w:hRule="atLeast"/>
        </w:trPr>
        <w:tc>
          <w:tcPr>
            <w:tcW w:w="7109" w:type="dxa"/>
            <w:shd w:val="clear" w:color="auto" w:fill="E7E6E6"/>
          </w:tcPr>
          <w:p>
            <w:pPr>
              <w:pStyle w:val="TableParagraph"/>
              <w:rPr>
                <w:b/>
                <w:sz w:val="24"/>
              </w:rPr>
            </w:pPr>
            <w:r>
              <w:rPr>
                <w:b/>
                <w:sz w:val="24"/>
              </w:rPr>
              <w:t>ITEM (INCLUDE LINK AND UNIT PRICE)</w:t>
            </w:r>
          </w:p>
        </w:tc>
        <w:tc>
          <w:tcPr>
            <w:tcW w:w="1444" w:type="dxa"/>
            <w:shd w:val="clear" w:color="auto" w:fill="E7E6E6"/>
          </w:tcPr>
          <w:p>
            <w:pPr>
              <w:pStyle w:val="TableParagraph"/>
              <w:ind w:left="88"/>
              <w:rPr>
                <w:b/>
                <w:sz w:val="24"/>
              </w:rPr>
            </w:pPr>
            <w:r>
              <w:rPr>
                <w:b/>
                <w:sz w:val="24"/>
              </w:rPr>
              <w:t>QUANTITY</w:t>
            </w:r>
          </w:p>
        </w:tc>
        <w:tc>
          <w:tcPr>
            <w:tcW w:w="1378" w:type="dxa"/>
            <w:shd w:val="clear" w:color="auto" w:fill="E7E6E6"/>
          </w:tcPr>
          <w:p>
            <w:pPr>
              <w:pStyle w:val="TableParagraph"/>
              <w:ind w:left="84"/>
              <w:rPr>
                <w:b/>
                <w:sz w:val="24"/>
              </w:rPr>
            </w:pPr>
            <w:r>
              <w:rPr>
                <w:b/>
                <w:sz w:val="24"/>
              </w:rPr>
              <w:t>COST</w:t>
            </w:r>
          </w:p>
        </w:tc>
      </w:tr>
      <w:tr>
        <w:trPr>
          <w:trHeight w:val="432" w:hRule="atLeast"/>
        </w:trPr>
        <w:tc>
          <w:tcPr>
            <w:tcW w:w="7109" w:type="dxa"/>
          </w:tcPr>
          <w:p>
            <w:pPr>
              <w:pStyle w:val="TableParagraph"/>
              <w:spacing w:before="81"/>
              <w:rPr>
                <w:sz w:val="24"/>
              </w:rPr>
            </w:pPr>
            <w:r>
              <w:rPr>
                <w:sz w:val="24"/>
              </w:rPr>
              <w:t>[</w:t>
            </w:r>
            <w:r>
              <w:rPr>
                <w:color w:val="0087CD"/>
                <w:sz w:val="24"/>
                <w:u w:val="single" w:color="0087CD"/>
              </w:rPr>
              <w:t>Swoop Armless Chair</w:t>
            </w:r>
            <w:r>
              <w:rPr>
                <w:color w:val="0087CD"/>
                <w:sz w:val="24"/>
              </w:rPr>
              <w:t> </w:t>
            </w:r>
            <w:r>
              <w:rPr>
                <w:sz w:val="24"/>
              </w:rPr>
              <w:t>$1856]</w:t>
            </w:r>
          </w:p>
        </w:tc>
        <w:tc>
          <w:tcPr>
            <w:tcW w:w="1444" w:type="dxa"/>
          </w:tcPr>
          <w:p>
            <w:pPr>
              <w:pStyle w:val="TableParagraph"/>
              <w:spacing w:before="81"/>
              <w:ind w:left="88"/>
              <w:rPr>
                <w:sz w:val="24"/>
              </w:rPr>
            </w:pPr>
            <w:r>
              <w:rPr>
                <w:sz w:val="24"/>
              </w:rPr>
              <w:t>2</w:t>
            </w:r>
          </w:p>
        </w:tc>
        <w:tc>
          <w:tcPr>
            <w:tcW w:w="1378" w:type="dxa"/>
          </w:tcPr>
          <w:p>
            <w:pPr>
              <w:pStyle w:val="TableParagraph"/>
              <w:spacing w:before="81"/>
              <w:ind w:left="84"/>
              <w:rPr>
                <w:sz w:val="24"/>
              </w:rPr>
            </w:pPr>
            <w:r>
              <w:rPr>
                <w:sz w:val="24"/>
              </w:rPr>
              <w:t>[3,712]</w:t>
            </w:r>
          </w:p>
        </w:tc>
      </w:tr>
      <w:tr>
        <w:trPr>
          <w:trHeight w:val="432" w:hRule="atLeast"/>
        </w:trPr>
        <w:tc>
          <w:tcPr>
            <w:tcW w:w="7109" w:type="dxa"/>
          </w:tcPr>
          <w:p>
            <w:pPr>
              <w:pStyle w:val="TableParagraph"/>
              <w:spacing w:before="84"/>
              <w:rPr>
                <w:sz w:val="24"/>
              </w:rPr>
            </w:pPr>
            <w:r>
              <w:rPr>
                <w:sz w:val="24"/>
              </w:rPr>
              <w:t>[</w:t>
            </w:r>
            <w:r>
              <w:rPr>
                <w:color w:val="0087CD"/>
                <w:sz w:val="24"/>
                <w:u w:val="single" w:color="0087CD"/>
              </w:rPr>
              <w:t>Swoop Box Table</w:t>
            </w:r>
            <w:r>
              <w:rPr>
                <w:color w:val="0087CD"/>
                <w:sz w:val="24"/>
              </w:rPr>
              <w:t> </w:t>
            </w:r>
            <w:r>
              <w:rPr>
                <w:sz w:val="24"/>
              </w:rPr>
              <w:t>$1065]</w:t>
            </w:r>
          </w:p>
        </w:tc>
        <w:tc>
          <w:tcPr>
            <w:tcW w:w="1444" w:type="dxa"/>
          </w:tcPr>
          <w:p>
            <w:pPr>
              <w:pStyle w:val="TableParagraph"/>
              <w:spacing w:before="84"/>
              <w:ind w:left="88"/>
              <w:rPr>
                <w:sz w:val="24"/>
              </w:rPr>
            </w:pPr>
            <w:r>
              <w:rPr>
                <w:sz w:val="24"/>
              </w:rPr>
              <w:t>2</w:t>
            </w:r>
          </w:p>
        </w:tc>
        <w:tc>
          <w:tcPr>
            <w:tcW w:w="1378" w:type="dxa"/>
          </w:tcPr>
          <w:p>
            <w:pPr>
              <w:pStyle w:val="TableParagraph"/>
              <w:spacing w:before="84"/>
              <w:ind w:left="84"/>
              <w:rPr>
                <w:sz w:val="24"/>
              </w:rPr>
            </w:pPr>
            <w:r>
              <w:rPr>
                <w:sz w:val="24"/>
              </w:rPr>
              <w:t>[2,130]</w:t>
            </w:r>
          </w:p>
        </w:tc>
      </w:tr>
      <w:tr>
        <w:trPr>
          <w:trHeight w:val="432" w:hRule="atLeast"/>
        </w:trPr>
        <w:tc>
          <w:tcPr>
            <w:tcW w:w="7109" w:type="dxa"/>
          </w:tcPr>
          <w:p>
            <w:pPr>
              <w:pStyle w:val="TableParagraph"/>
              <w:spacing w:before="67"/>
              <w:rPr>
                <w:sz w:val="24"/>
              </w:rPr>
            </w:pPr>
            <w:r>
              <w:rPr>
                <w:sz w:val="24"/>
              </w:rPr>
              <w:t>[</w:t>
            </w:r>
            <w:r>
              <w:rPr>
                <w:color w:val="0087CD"/>
                <w:sz w:val="24"/>
                <w:u w:val="single" w:color="0087CD"/>
              </w:rPr>
              <w:t>Drum Pouf, Cocktail</w:t>
            </w:r>
            <w:r>
              <w:rPr>
                <w:color w:val="0087CD"/>
                <w:sz w:val="24"/>
              </w:rPr>
              <w:t> </w:t>
            </w:r>
            <w:r>
              <w:rPr>
                <w:sz w:val="24"/>
              </w:rPr>
              <w:t>$595.00]</w:t>
            </w:r>
          </w:p>
        </w:tc>
        <w:tc>
          <w:tcPr>
            <w:tcW w:w="1444" w:type="dxa"/>
          </w:tcPr>
          <w:p>
            <w:pPr>
              <w:pStyle w:val="TableParagraph"/>
              <w:spacing w:before="67"/>
              <w:ind w:left="88"/>
              <w:rPr>
                <w:sz w:val="24"/>
              </w:rPr>
            </w:pPr>
            <w:r>
              <w:rPr>
                <w:sz w:val="24"/>
              </w:rPr>
              <w:t>1</w:t>
            </w:r>
          </w:p>
        </w:tc>
        <w:tc>
          <w:tcPr>
            <w:tcW w:w="1378" w:type="dxa"/>
          </w:tcPr>
          <w:p>
            <w:pPr>
              <w:pStyle w:val="TableParagraph"/>
              <w:spacing w:before="67"/>
              <w:ind w:left="84"/>
              <w:rPr>
                <w:sz w:val="24"/>
              </w:rPr>
            </w:pPr>
            <w:r>
              <w:rPr>
                <w:sz w:val="24"/>
              </w:rPr>
              <w:t>[595.00]</w:t>
            </w:r>
          </w:p>
        </w:tc>
      </w:tr>
      <w:tr>
        <w:trPr>
          <w:trHeight w:val="432" w:hRule="atLeast"/>
        </w:trPr>
        <w:tc>
          <w:tcPr>
            <w:tcW w:w="7109" w:type="dxa"/>
          </w:tcPr>
          <w:p>
            <w:pPr>
              <w:pStyle w:val="TableParagraph"/>
              <w:spacing w:before="69"/>
              <w:rPr>
                <w:sz w:val="24"/>
              </w:rPr>
            </w:pPr>
            <w:r>
              <w:rPr>
                <w:sz w:val="24"/>
              </w:rPr>
              <w:t>[</w:t>
            </w:r>
            <w:r>
              <w:rPr>
                <w:color w:val="0087CD"/>
                <w:sz w:val="24"/>
                <w:u w:val="single" w:color="0087CD"/>
              </w:rPr>
              <w:t>Knot </w:t>
            </w:r>
            <w:r>
              <w:rPr>
                <w:color w:val="0087CD"/>
                <w:spacing w:val="-5"/>
                <w:sz w:val="24"/>
                <w:u w:val="single" w:color="0087CD"/>
              </w:rPr>
              <w:t>Table, </w:t>
            </w:r>
            <w:r>
              <w:rPr>
                <w:color w:val="0087CD"/>
                <w:sz w:val="24"/>
                <w:u w:val="single" w:color="0087CD"/>
              </w:rPr>
              <w:t>Circular</w:t>
            </w:r>
            <w:r>
              <w:rPr>
                <w:color w:val="0087CD"/>
                <w:spacing w:val="64"/>
                <w:sz w:val="24"/>
              </w:rPr>
              <w:t> </w:t>
            </w:r>
            <w:r>
              <w:rPr>
                <w:sz w:val="24"/>
              </w:rPr>
              <w:t>$849]</w:t>
            </w:r>
          </w:p>
        </w:tc>
        <w:tc>
          <w:tcPr>
            <w:tcW w:w="1444" w:type="dxa"/>
          </w:tcPr>
          <w:p>
            <w:pPr>
              <w:pStyle w:val="TableParagraph"/>
              <w:spacing w:before="69"/>
              <w:ind w:left="88"/>
              <w:rPr>
                <w:sz w:val="24"/>
              </w:rPr>
            </w:pPr>
            <w:r>
              <w:rPr>
                <w:sz w:val="24"/>
              </w:rPr>
              <w:t>1</w:t>
            </w:r>
          </w:p>
        </w:tc>
        <w:tc>
          <w:tcPr>
            <w:tcW w:w="1378" w:type="dxa"/>
          </w:tcPr>
          <w:p>
            <w:pPr>
              <w:pStyle w:val="TableParagraph"/>
              <w:spacing w:before="69"/>
              <w:ind w:left="84"/>
              <w:rPr>
                <w:sz w:val="24"/>
              </w:rPr>
            </w:pPr>
            <w:r>
              <w:rPr>
                <w:sz w:val="24"/>
              </w:rPr>
              <w:t>[849]</w:t>
            </w:r>
          </w:p>
        </w:tc>
      </w:tr>
      <w:tr>
        <w:trPr>
          <w:trHeight w:val="432" w:hRule="atLeast"/>
        </w:trPr>
        <w:tc>
          <w:tcPr>
            <w:tcW w:w="7109" w:type="dxa"/>
          </w:tcPr>
          <w:p>
            <w:pPr>
              <w:pStyle w:val="TableParagraph"/>
              <w:spacing w:before="72"/>
              <w:rPr>
                <w:sz w:val="24"/>
              </w:rPr>
            </w:pPr>
            <w:r>
              <w:rPr>
                <w:sz w:val="24"/>
              </w:rPr>
              <w:t>[</w:t>
            </w:r>
            <w:r>
              <w:rPr>
                <w:color w:val="0087CD"/>
                <w:sz w:val="24"/>
                <w:u w:val="single" w:color="0087CD"/>
              </w:rPr>
              <w:t>Always Lounge Chair</w:t>
            </w:r>
            <w:r>
              <w:rPr>
                <w:sz w:val="24"/>
              </w:rPr>
              <w:t>, $2,578]</w:t>
            </w:r>
          </w:p>
        </w:tc>
        <w:tc>
          <w:tcPr>
            <w:tcW w:w="1444" w:type="dxa"/>
          </w:tcPr>
          <w:p>
            <w:pPr>
              <w:pStyle w:val="TableParagraph"/>
              <w:spacing w:before="72"/>
              <w:ind w:left="88"/>
              <w:rPr>
                <w:sz w:val="24"/>
              </w:rPr>
            </w:pPr>
            <w:r>
              <w:rPr>
                <w:sz w:val="24"/>
              </w:rPr>
              <w:t>4</w:t>
            </w:r>
          </w:p>
        </w:tc>
        <w:tc>
          <w:tcPr>
            <w:tcW w:w="1378" w:type="dxa"/>
          </w:tcPr>
          <w:p>
            <w:pPr>
              <w:pStyle w:val="TableParagraph"/>
              <w:spacing w:before="72"/>
              <w:ind w:left="84"/>
              <w:rPr>
                <w:sz w:val="24"/>
              </w:rPr>
            </w:pPr>
            <w:r>
              <w:rPr>
                <w:sz w:val="24"/>
              </w:rPr>
              <w:t>[10,315]</w:t>
            </w:r>
          </w:p>
        </w:tc>
      </w:tr>
      <w:tr>
        <w:trPr>
          <w:trHeight w:val="432" w:hRule="atLeast"/>
        </w:trPr>
        <w:tc>
          <w:tcPr>
            <w:tcW w:w="7109" w:type="dxa"/>
          </w:tcPr>
          <w:p>
            <w:pPr>
              <w:pStyle w:val="TableParagraph"/>
              <w:spacing w:before="75"/>
              <w:rPr>
                <w:sz w:val="24"/>
              </w:rPr>
            </w:pPr>
            <w:r>
              <w:rPr>
                <w:sz w:val="24"/>
              </w:rPr>
              <w:t>[</w:t>
            </w:r>
            <w:r>
              <w:rPr>
                <w:color w:val="0087CD"/>
                <w:sz w:val="24"/>
                <w:u w:val="single" w:color="0087CD"/>
              </w:rPr>
              <w:t>Glass White Board</w:t>
            </w:r>
            <w:r>
              <w:rPr>
                <w:sz w:val="24"/>
              </w:rPr>
              <w:t>, $4,650]</w:t>
            </w:r>
          </w:p>
        </w:tc>
        <w:tc>
          <w:tcPr>
            <w:tcW w:w="1444" w:type="dxa"/>
          </w:tcPr>
          <w:p>
            <w:pPr>
              <w:pStyle w:val="TableParagraph"/>
              <w:spacing w:before="75"/>
              <w:ind w:left="88"/>
              <w:rPr>
                <w:sz w:val="24"/>
              </w:rPr>
            </w:pPr>
            <w:r>
              <w:rPr>
                <w:sz w:val="24"/>
              </w:rPr>
              <w:t>1</w:t>
            </w:r>
          </w:p>
        </w:tc>
        <w:tc>
          <w:tcPr>
            <w:tcW w:w="1378" w:type="dxa"/>
          </w:tcPr>
          <w:p>
            <w:pPr>
              <w:pStyle w:val="TableParagraph"/>
              <w:spacing w:before="75"/>
              <w:ind w:left="84"/>
              <w:rPr>
                <w:sz w:val="24"/>
              </w:rPr>
            </w:pPr>
            <w:r>
              <w:rPr>
                <w:sz w:val="24"/>
              </w:rPr>
              <w:t>[4,650]</w:t>
            </w:r>
          </w:p>
        </w:tc>
      </w:tr>
      <w:tr>
        <w:trPr>
          <w:trHeight w:val="432" w:hRule="atLeast"/>
        </w:trPr>
        <w:tc>
          <w:tcPr>
            <w:tcW w:w="7109" w:type="dxa"/>
          </w:tcPr>
          <w:p>
            <w:pPr>
              <w:pStyle w:val="TableParagraph"/>
              <w:rPr>
                <w:sz w:val="24"/>
              </w:rPr>
            </w:pPr>
            <w:r>
              <w:rPr>
                <w:sz w:val="24"/>
              </w:rPr>
              <w:t>[</w:t>
            </w:r>
            <w:r>
              <w:rPr>
                <w:color w:val="0087CD"/>
                <w:sz w:val="24"/>
                <w:u w:val="single" w:color="0087CD"/>
              </w:rPr>
              <w:t>Square Foldaway Table</w:t>
            </w:r>
            <w:r>
              <w:rPr>
                <w:sz w:val="24"/>
              </w:rPr>
              <w:t>, $2,170.5]</w:t>
            </w:r>
          </w:p>
        </w:tc>
        <w:tc>
          <w:tcPr>
            <w:tcW w:w="1444" w:type="dxa"/>
          </w:tcPr>
          <w:p>
            <w:pPr>
              <w:pStyle w:val="TableParagraph"/>
              <w:ind w:left="88"/>
              <w:rPr>
                <w:sz w:val="24"/>
              </w:rPr>
            </w:pPr>
            <w:r>
              <w:rPr>
                <w:sz w:val="24"/>
              </w:rPr>
              <w:t>2</w:t>
            </w:r>
          </w:p>
        </w:tc>
        <w:tc>
          <w:tcPr>
            <w:tcW w:w="1378" w:type="dxa"/>
          </w:tcPr>
          <w:p>
            <w:pPr>
              <w:pStyle w:val="TableParagraph"/>
              <w:ind w:left="84"/>
              <w:rPr>
                <w:sz w:val="24"/>
              </w:rPr>
            </w:pPr>
            <w:r>
              <w:rPr>
                <w:sz w:val="24"/>
              </w:rPr>
              <w:t>[4,341]</w:t>
            </w:r>
          </w:p>
        </w:tc>
      </w:tr>
      <w:tr>
        <w:trPr>
          <w:trHeight w:val="432" w:hRule="atLeast"/>
        </w:trPr>
        <w:tc>
          <w:tcPr>
            <w:tcW w:w="7109" w:type="dxa"/>
          </w:tcPr>
          <w:p>
            <w:pPr>
              <w:pStyle w:val="TableParagraph"/>
              <w:spacing w:before="81"/>
              <w:rPr>
                <w:sz w:val="24"/>
              </w:rPr>
            </w:pPr>
            <w:r>
              <w:rPr>
                <w:sz w:val="24"/>
              </w:rPr>
              <w:t>[</w:t>
            </w:r>
            <w:r>
              <w:rPr>
                <w:color w:val="0087CD"/>
                <w:sz w:val="24"/>
                <w:u w:val="single" w:color="0087CD"/>
              </w:rPr>
              <w:t>Keyn Chair</w:t>
            </w:r>
            <w:r>
              <w:rPr>
                <w:sz w:val="24"/>
              </w:rPr>
              <w:t>,$667]</w:t>
            </w:r>
          </w:p>
        </w:tc>
        <w:tc>
          <w:tcPr>
            <w:tcW w:w="1444" w:type="dxa"/>
          </w:tcPr>
          <w:p>
            <w:pPr>
              <w:pStyle w:val="TableParagraph"/>
              <w:spacing w:before="81"/>
              <w:ind w:left="88"/>
              <w:rPr>
                <w:sz w:val="24"/>
              </w:rPr>
            </w:pPr>
            <w:r>
              <w:rPr>
                <w:sz w:val="24"/>
              </w:rPr>
              <w:t>6</w:t>
            </w:r>
          </w:p>
        </w:tc>
        <w:tc>
          <w:tcPr>
            <w:tcW w:w="1378" w:type="dxa"/>
          </w:tcPr>
          <w:p>
            <w:pPr>
              <w:pStyle w:val="TableParagraph"/>
              <w:spacing w:before="81"/>
              <w:ind w:left="84"/>
              <w:rPr>
                <w:sz w:val="24"/>
              </w:rPr>
            </w:pPr>
            <w:r>
              <w:rPr>
                <w:sz w:val="24"/>
              </w:rPr>
              <w:t>[4,836]</w:t>
            </w:r>
          </w:p>
        </w:tc>
      </w:tr>
      <w:tr>
        <w:trPr>
          <w:trHeight w:val="432" w:hRule="atLeast"/>
        </w:trPr>
        <w:tc>
          <w:tcPr>
            <w:tcW w:w="7109" w:type="dxa"/>
          </w:tcPr>
          <w:p>
            <w:pPr>
              <w:pStyle w:val="TableParagraph"/>
              <w:spacing w:before="84"/>
              <w:rPr>
                <w:b/>
                <w:sz w:val="24"/>
              </w:rPr>
            </w:pPr>
            <w:r>
              <w:rPr>
                <w:b/>
                <w:sz w:val="24"/>
              </w:rPr>
              <w:t>Total (Maximum $80,000)</w:t>
            </w:r>
          </w:p>
        </w:tc>
        <w:tc>
          <w:tcPr>
            <w:tcW w:w="1444" w:type="dxa"/>
          </w:tcPr>
          <w:p>
            <w:pPr>
              <w:pStyle w:val="TableParagraph"/>
              <w:spacing w:before="84"/>
              <w:ind w:left="88"/>
              <w:rPr>
                <w:b/>
                <w:sz w:val="24"/>
              </w:rPr>
            </w:pPr>
            <w:r>
              <w:rPr>
                <w:b/>
                <w:sz w:val="24"/>
              </w:rPr>
              <w:t>19</w:t>
            </w:r>
          </w:p>
        </w:tc>
        <w:tc>
          <w:tcPr>
            <w:tcW w:w="1378" w:type="dxa"/>
          </w:tcPr>
          <w:p>
            <w:pPr>
              <w:pStyle w:val="TableParagraph"/>
              <w:spacing w:before="84"/>
              <w:ind w:left="84"/>
              <w:rPr>
                <w:b/>
                <w:sz w:val="24"/>
              </w:rPr>
            </w:pPr>
            <w:r>
              <w:rPr>
                <w:b/>
                <w:sz w:val="24"/>
              </w:rPr>
              <w:t>[ 31,428]</w:t>
            </w:r>
          </w:p>
        </w:tc>
      </w:tr>
    </w:tbl>
    <w:p>
      <w:pPr>
        <w:spacing w:before="49"/>
        <w:ind w:left="100" w:right="0" w:firstLine="0"/>
        <w:jc w:val="left"/>
        <w:rPr>
          <w:sz w:val="28"/>
        </w:rPr>
      </w:pPr>
      <w:r>
        <w:rPr>
          <w:color w:val="262626"/>
          <w:sz w:val="28"/>
        </w:rPr>
        <w:t>ADDITIONAL ELEMENTS</w:t>
      </w:r>
    </w:p>
    <w:p>
      <w:pPr>
        <w:pStyle w:val="BodyText"/>
        <w:rPr>
          <w:sz w:val="28"/>
        </w:rPr>
      </w:pPr>
    </w:p>
    <w:tbl>
      <w:tblPr>
        <w:tblW w:w="0" w:type="auto"/>
        <w:jc w:val="left"/>
        <w:tblInd w:w="102" w:type="dxa"/>
        <w:tblBorders>
          <w:top w:val="single" w:sz="2" w:space="0" w:color="F0F0F0"/>
          <w:left w:val="single" w:sz="2" w:space="0" w:color="F0F0F0"/>
          <w:bottom w:val="single" w:sz="2" w:space="0" w:color="F0F0F0"/>
          <w:right w:val="single" w:sz="2" w:space="0" w:color="F0F0F0"/>
          <w:insideH w:val="single" w:sz="2" w:space="0" w:color="F0F0F0"/>
          <w:insideV w:val="single" w:sz="2" w:space="0" w:color="F0F0F0"/>
        </w:tblBorders>
        <w:tblLayout w:type="fixed"/>
        <w:tblCellMar>
          <w:top w:w="0" w:type="dxa"/>
          <w:left w:w="0" w:type="dxa"/>
          <w:bottom w:w="0" w:type="dxa"/>
          <w:right w:w="0" w:type="dxa"/>
        </w:tblCellMar>
        <w:tblLook w:val="01E0"/>
      </w:tblPr>
      <w:tblGrid>
        <w:gridCol w:w="7106"/>
        <w:gridCol w:w="1443"/>
        <w:gridCol w:w="1382"/>
      </w:tblGrid>
      <w:tr>
        <w:trPr>
          <w:trHeight w:val="432" w:hRule="atLeast"/>
        </w:trPr>
        <w:tc>
          <w:tcPr>
            <w:tcW w:w="7106" w:type="dxa"/>
            <w:shd w:val="clear" w:color="auto" w:fill="E7E6E6"/>
          </w:tcPr>
          <w:p>
            <w:pPr>
              <w:pStyle w:val="TableParagraph"/>
              <w:spacing w:before="68"/>
              <w:rPr>
                <w:b/>
                <w:sz w:val="24"/>
              </w:rPr>
            </w:pPr>
            <w:r>
              <w:rPr>
                <w:b/>
                <w:sz w:val="24"/>
              </w:rPr>
              <w:t>ITEM</w:t>
            </w:r>
          </w:p>
        </w:tc>
        <w:tc>
          <w:tcPr>
            <w:tcW w:w="1443" w:type="dxa"/>
            <w:shd w:val="clear" w:color="auto" w:fill="E7E6E6"/>
          </w:tcPr>
          <w:p>
            <w:pPr>
              <w:pStyle w:val="TableParagraph"/>
              <w:spacing w:before="68"/>
              <w:ind w:left="91"/>
              <w:rPr>
                <w:b/>
                <w:sz w:val="24"/>
              </w:rPr>
            </w:pPr>
            <w:r>
              <w:rPr>
                <w:b/>
                <w:sz w:val="24"/>
              </w:rPr>
              <w:t>QUANTITY</w:t>
            </w:r>
          </w:p>
        </w:tc>
        <w:tc>
          <w:tcPr>
            <w:tcW w:w="1382" w:type="dxa"/>
            <w:shd w:val="clear" w:color="auto" w:fill="E7E6E6"/>
          </w:tcPr>
          <w:p>
            <w:pPr>
              <w:pStyle w:val="TableParagraph"/>
              <w:spacing w:before="68"/>
              <w:ind w:left="88"/>
              <w:rPr>
                <w:b/>
                <w:sz w:val="24"/>
              </w:rPr>
            </w:pPr>
            <w:r>
              <w:rPr>
                <w:b/>
                <w:sz w:val="24"/>
              </w:rPr>
              <w:t>COST</w:t>
            </w:r>
          </w:p>
        </w:tc>
      </w:tr>
      <w:tr>
        <w:trPr>
          <w:trHeight w:val="432" w:hRule="atLeast"/>
        </w:trPr>
        <w:tc>
          <w:tcPr>
            <w:tcW w:w="7106" w:type="dxa"/>
          </w:tcPr>
          <w:p>
            <w:pPr>
              <w:pStyle w:val="TableParagraph"/>
              <w:spacing w:before="71"/>
              <w:rPr>
                <w:sz w:val="24"/>
              </w:rPr>
            </w:pPr>
            <w:r>
              <w:rPr>
                <w:sz w:val="24"/>
              </w:rPr>
              <w:t>[</w:t>
            </w:r>
            <w:r>
              <w:rPr>
                <w:color w:val="0087CD"/>
                <w:sz w:val="24"/>
                <w:u w:val="single" w:color="0087CD"/>
              </w:rPr>
              <w:t>World Travel Map with Pins</w:t>
            </w:r>
            <w:r>
              <w:rPr>
                <w:sz w:val="24"/>
              </w:rPr>
              <w:t>, $129,99]</w:t>
            </w:r>
          </w:p>
        </w:tc>
        <w:tc>
          <w:tcPr>
            <w:tcW w:w="1443" w:type="dxa"/>
          </w:tcPr>
          <w:p>
            <w:pPr>
              <w:pStyle w:val="TableParagraph"/>
              <w:spacing w:before="71"/>
              <w:ind w:left="91"/>
              <w:rPr>
                <w:sz w:val="24"/>
              </w:rPr>
            </w:pPr>
            <w:r>
              <w:rPr>
                <w:sz w:val="24"/>
              </w:rPr>
              <w:t>[1]</w:t>
            </w:r>
          </w:p>
        </w:tc>
        <w:tc>
          <w:tcPr>
            <w:tcW w:w="1382" w:type="dxa"/>
          </w:tcPr>
          <w:p>
            <w:pPr>
              <w:pStyle w:val="TableParagraph"/>
              <w:spacing w:before="71"/>
              <w:ind w:left="88"/>
              <w:rPr>
                <w:sz w:val="24"/>
              </w:rPr>
            </w:pPr>
            <w:r>
              <w:rPr>
                <w:sz w:val="24"/>
              </w:rPr>
              <w:t>[$129,99]</w:t>
            </w:r>
          </w:p>
        </w:tc>
      </w:tr>
      <w:tr>
        <w:trPr>
          <w:trHeight w:val="432" w:hRule="atLeast"/>
        </w:trPr>
        <w:tc>
          <w:tcPr>
            <w:tcW w:w="7106" w:type="dxa"/>
          </w:tcPr>
          <w:p>
            <w:pPr>
              <w:pStyle w:val="TableParagraph"/>
              <w:spacing w:before="74"/>
              <w:rPr>
                <w:sz w:val="24"/>
              </w:rPr>
            </w:pPr>
            <w:r>
              <w:rPr>
                <w:sz w:val="24"/>
              </w:rPr>
              <w:t>[</w:t>
            </w:r>
            <w:r>
              <w:rPr>
                <w:color w:val="0087CD"/>
                <w:sz w:val="24"/>
                <w:u w:val="single" w:color="0087CD"/>
              </w:rPr>
              <w:t>Wall Geometric Hanging White/Gold</w:t>
            </w:r>
            <w:r>
              <w:rPr>
                <w:sz w:val="24"/>
              </w:rPr>
              <w:t>, $12.99]</w:t>
            </w:r>
          </w:p>
        </w:tc>
        <w:tc>
          <w:tcPr>
            <w:tcW w:w="1443" w:type="dxa"/>
          </w:tcPr>
          <w:p>
            <w:pPr>
              <w:pStyle w:val="TableParagraph"/>
              <w:spacing w:before="74"/>
              <w:ind w:left="91"/>
              <w:rPr>
                <w:sz w:val="24"/>
              </w:rPr>
            </w:pPr>
            <w:r>
              <w:rPr>
                <w:sz w:val="24"/>
              </w:rPr>
              <w:t>[4]</w:t>
            </w:r>
          </w:p>
        </w:tc>
        <w:tc>
          <w:tcPr>
            <w:tcW w:w="1382" w:type="dxa"/>
          </w:tcPr>
          <w:p>
            <w:pPr>
              <w:pStyle w:val="TableParagraph"/>
              <w:spacing w:before="74"/>
              <w:ind w:left="88"/>
              <w:rPr>
                <w:sz w:val="24"/>
              </w:rPr>
            </w:pPr>
            <w:r>
              <w:rPr>
                <w:sz w:val="24"/>
              </w:rPr>
              <w:t>[$51.96]</w:t>
            </w:r>
          </w:p>
        </w:tc>
      </w:tr>
      <w:tr>
        <w:trPr>
          <w:trHeight w:val="432" w:hRule="atLeast"/>
        </w:trPr>
        <w:tc>
          <w:tcPr>
            <w:tcW w:w="7106" w:type="dxa"/>
          </w:tcPr>
          <w:p>
            <w:pPr>
              <w:pStyle w:val="TableParagraph"/>
              <w:spacing w:before="77"/>
              <w:rPr>
                <w:sz w:val="24"/>
              </w:rPr>
            </w:pPr>
            <w:r>
              <w:rPr>
                <w:sz w:val="24"/>
              </w:rPr>
              <w:t>[</w:t>
            </w:r>
            <w:r>
              <w:rPr>
                <w:color w:val="0087CD"/>
                <w:sz w:val="24"/>
                <w:u w:val="single" w:color="0087CD"/>
              </w:rPr>
              <w:t>Watermark Round Rug</w:t>
            </w:r>
            <w:r>
              <w:rPr>
                <w:sz w:val="24"/>
              </w:rPr>
              <w:t>, $349]</w:t>
            </w:r>
          </w:p>
        </w:tc>
        <w:tc>
          <w:tcPr>
            <w:tcW w:w="1443" w:type="dxa"/>
          </w:tcPr>
          <w:p>
            <w:pPr>
              <w:pStyle w:val="TableParagraph"/>
              <w:spacing w:before="77"/>
              <w:ind w:left="91"/>
              <w:rPr>
                <w:sz w:val="24"/>
              </w:rPr>
            </w:pPr>
            <w:r>
              <w:rPr>
                <w:sz w:val="24"/>
              </w:rPr>
              <w:t>[1]</w:t>
            </w:r>
          </w:p>
        </w:tc>
        <w:tc>
          <w:tcPr>
            <w:tcW w:w="1382" w:type="dxa"/>
          </w:tcPr>
          <w:p>
            <w:pPr>
              <w:pStyle w:val="TableParagraph"/>
              <w:spacing w:before="77"/>
              <w:ind w:left="88"/>
              <w:rPr>
                <w:sz w:val="24"/>
              </w:rPr>
            </w:pPr>
            <w:r>
              <w:rPr>
                <w:sz w:val="24"/>
              </w:rPr>
              <w:t>[$349]</w:t>
            </w:r>
          </w:p>
        </w:tc>
      </w:tr>
      <w:tr>
        <w:trPr>
          <w:trHeight w:val="432" w:hRule="atLeast"/>
        </w:trPr>
        <w:tc>
          <w:tcPr>
            <w:tcW w:w="7106" w:type="dxa"/>
          </w:tcPr>
          <w:p>
            <w:pPr>
              <w:pStyle w:val="TableParagraph"/>
              <w:spacing w:before="80"/>
              <w:rPr>
                <w:sz w:val="24"/>
              </w:rPr>
            </w:pPr>
            <w:r>
              <w:rPr>
                <w:sz w:val="24"/>
              </w:rPr>
              <w:t>[</w:t>
            </w:r>
            <w:r>
              <w:rPr>
                <w:color w:val="0087CD"/>
                <w:sz w:val="24"/>
                <w:u w:val="single" w:color="0087CD"/>
              </w:rPr>
              <w:t>Case Study Planters with Walnut Stand</w:t>
            </w:r>
            <w:r>
              <w:rPr>
                <w:sz w:val="24"/>
              </w:rPr>
              <w:t>, $149.00]</w:t>
            </w:r>
          </w:p>
        </w:tc>
        <w:tc>
          <w:tcPr>
            <w:tcW w:w="1443" w:type="dxa"/>
          </w:tcPr>
          <w:p>
            <w:pPr>
              <w:pStyle w:val="TableParagraph"/>
              <w:spacing w:before="80"/>
              <w:ind w:left="91"/>
              <w:rPr>
                <w:sz w:val="24"/>
              </w:rPr>
            </w:pPr>
            <w:r>
              <w:rPr>
                <w:sz w:val="24"/>
              </w:rPr>
              <w:t>[1]</w:t>
            </w:r>
          </w:p>
        </w:tc>
        <w:tc>
          <w:tcPr>
            <w:tcW w:w="1382" w:type="dxa"/>
          </w:tcPr>
          <w:p>
            <w:pPr>
              <w:pStyle w:val="TableParagraph"/>
              <w:spacing w:before="80"/>
              <w:ind w:left="88"/>
              <w:rPr>
                <w:sz w:val="24"/>
              </w:rPr>
            </w:pPr>
            <w:r>
              <w:rPr>
                <w:sz w:val="24"/>
              </w:rPr>
              <w:t>[$149.00]</w:t>
            </w:r>
          </w:p>
        </w:tc>
      </w:tr>
      <w:tr>
        <w:trPr>
          <w:trHeight w:val="432" w:hRule="atLeast"/>
        </w:trPr>
        <w:tc>
          <w:tcPr>
            <w:tcW w:w="7106" w:type="dxa"/>
          </w:tcPr>
          <w:p>
            <w:pPr>
              <w:pStyle w:val="TableParagraph"/>
              <w:spacing w:before="82"/>
              <w:rPr>
                <w:sz w:val="24"/>
              </w:rPr>
            </w:pPr>
            <w:r>
              <w:rPr>
                <w:sz w:val="24"/>
              </w:rPr>
              <w:t>[</w:t>
            </w:r>
            <w:r>
              <w:rPr>
                <w:color w:val="0087CD"/>
                <w:sz w:val="24"/>
                <w:u w:val="single" w:color="0087CD"/>
              </w:rPr>
              <w:t>Claudine Adjustable Height Swivel Bar Stool</w:t>
            </w:r>
            <w:r>
              <w:rPr>
                <w:sz w:val="24"/>
              </w:rPr>
              <w:t>, $181.98]</w:t>
            </w:r>
          </w:p>
        </w:tc>
        <w:tc>
          <w:tcPr>
            <w:tcW w:w="1443" w:type="dxa"/>
          </w:tcPr>
          <w:p>
            <w:pPr>
              <w:pStyle w:val="TableParagraph"/>
              <w:spacing w:before="82"/>
              <w:ind w:left="91"/>
              <w:rPr>
                <w:sz w:val="24"/>
              </w:rPr>
            </w:pPr>
            <w:r>
              <w:rPr>
                <w:sz w:val="24"/>
              </w:rPr>
              <w:t>[3]</w:t>
            </w:r>
          </w:p>
        </w:tc>
        <w:tc>
          <w:tcPr>
            <w:tcW w:w="1382" w:type="dxa"/>
          </w:tcPr>
          <w:p>
            <w:pPr>
              <w:pStyle w:val="TableParagraph"/>
              <w:spacing w:before="82"/>
              <w:ind w:left="88"/>
              <w:rPr>
                <w:sz w:val="24"/>
              </w:rPr>
            </w:pPr>
            <w:r>
              <w:rPr>
                <w:sz w:val="24"/>
              </w:rPr>
              <w:t>[$545.94]</w:t>
            </w:r>
          </w:p>
        </w:tc>
      </w:tr>
      <w:tr>
        <w:trPr>
          <w:trHeight w:val="432" w:hRule="atLeast"/>
        </w:trPr>
        <w:tc>
          <w:tcPr>
            <w:tcW w:w="7106" w:type="dxa"/>
          </w:tcPr>
          <w:p>
            <w:pPr>
              <w:pStyle w:val="TableParagraph"/>
              <w:spacing w:before="85"/>
              <w:rPr>
                <w:b/>
                <w:sz w:val="24"/>
              </w:rPr>
            </w:pPr>
            <w:r>
              <w:rPr>
                <w:b/>
                <w:sz w:val="24"/>
              </w:rPr>
              <w:t>Total (Maximum $5,000)</w:t>
            </w:r>
          </w:p>
        </w:tc>
        <w:tc>
          <w:tcPr>
            <w:tcW w:w="1443" w:type="dxa"/>
          </w:tcPr>
          <w:p>
            <w:pPr>
              <w:pStyle w:val="TableParagraph"/>
              <w:spacing w:before="85"/>
              <w:ind w:left="91"/>
              <w:rPr>
                <w:b/>
                <w:sz w:val="24"/>
              </w:rPr>
            </w:pPr>
            <w:r>
              <w:rPr>
                <w:b/>
                <w:sz w:val="24"/>
              </w:rPr>
              <w:t>[9]</w:t>
            </w:r>
          </w:p>
        </w:tc>
        <w:tc>
          <w:tcPr>
            <w:tcW w:w="1382" w:type="dxa"/>
          </w:tcPr>
          <w:p>
            <w:pPr>
              <w:pStyle w:val="TableParagraph"/>
              <w:spacing w:before="85"/>
              <w:ind w:left="88"/>
              <w:rPr>
                <w:b/>
                <w:sz w:val="24"/>
              </w:rPr>
            </w:pPr>
            <w:r>
              <w:rPr>
                <w:b/>
                <w:sz w:val="24"/>
              </w:rPr>
              <w:t>[$1225.89]</w:t>
            </w:r>
          </w:p>
        </w:tc>
      </w:tr>
    </w:tbl>
    <w:sectPr>
      <w:pgSz w:w="12240" w:h="15840"/>
      <w:pgMar w:header="580" w:footer="1141" w:top="1140" w:bottom="1340" w:left="9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3pt;margin-top:768.59491pt;width:98.4pt;height:6.5pt;mso-position-horizontal-relative:page;mso-position-vertical-relative:page;z-index:-7648" coordorigin="1800,15372" coordsize="1968,130" path="m3764,15374l3685,15374,3685,15501,3768,15501,3768,15489,3701,15489,3701,15443,3748,15443,3748,15428,3701,15428,3701,15390,3764,15390,3764,15374xm3601,15372l3578,15377,3561,15390,3550,15411,3546,15438,3547,15453,3550,15466,3555,15478,3561,15488,3569,15496,3578,15501,3622,15501,3633,15495,3636,15491,3601,15491,3585,15487,3573,15477,3565,15461,3562,15438,3565,15417,3573,15401,3585,15391,3601,15387,3636,15387,3631,15382,3618,15374,3601,15372xm3635,15460l3635,15461,3630,15474,3622,15483,3613,15489,3601,15491,3636,15491,3643,15482,3650,15464,3650,15463,3635,15460xm3636,15387l3601,15387,3612,15389,3621,15394,3628,15403,3633,15416,3633,15417,3648,15412,3648,15411,3642,15394,3636,15387xm3427,15374l3410,15374,3410,15501,3426,15501,3426,15400,3444,15400,3427,15375,3427,15374xm3444,15400l3426,15400,3493,15501,3509,15501,3509,15475,3493,15475,3444,15400xm3509,15374l3493,15374,3493,15475,3509,15475,3509,15374xm3330,15374l3313,15374,3268,15501,3284,15501,3296,15467,3362,15467,3357,15453,3301,15453,3321,15394,3337,15394,3330,15374xm3362,15467l3346,15467,3358,15501,3374,15501,3362,15467xm3337,15394l3321,15394,3341,15453,3357,15453,3337,15394xm3230,15374l3214,15374,3214,15501,3230,15501,3230,15374xm3125,15374l3109,15374,3109,15501,3186,15501,3186,15489,3125,15489,3125,15374xm3018,15374l3002,15374,3002,15501,3080,15501,3080,15489,3018,15489,3018,15374xm2921,15374l2905,15374,2860,15501,2875,15501,2887,15467,2954,15467,2949,15453,2892,15453,2913,15394,2928,15394,2921,15374xm2954,15467l2937,15467,2949,15501,2965,15501,2954,15467xm2928,15394l2913,15394,2932,15453,2949,15453,2928,15394xm2730,15372l2708,15377,2690,15390,2679,15411,2675,15438,2676,15453,2679,15466,2684,15478,2690,15488,2698,15496,2707,15501,2751,15501,2762,15495,2765,15491,2730,15491,2714,15487,2702,15477,2695,15461,2692,15438,2695,15417,2702,15401,2714,15391,2730,15387,2765,15387,2761,15382,2747,15374,2730,15372xm2765,15460l2764,15460,2764,15461,2759,15474,2752,15483,2742,15489,2730,15491,2765,15491,2773,15482,2780,15464,2780,15463,2765,15460xm2765,15387l2730,15387,2741,15389,2750,15394,2757,15403,2762,15416,2762,15417,2778,15412,2778,15412,2771,15394,2765,15387xm2637,15374l2621,15374,2621,15501,2637,15501,2637,15374xm2468,15374l2448,15374,2448,15501,2463,15501,2463,15401,2478,15401,2468,15374xm2478,15401l2463,15401,2465,15410,2467,15414,2470,15421,2500,15501,2516,15501,2523,15483,2508,15483,2478,15401xm2569,15402l2552,15402,2552,15501,2569,15501,2569,15402xm2569,15374l2547,15374,2508,15483,2523,15483,2545,15423,2546,15421,2547,15419,2547,15418,2551,15406,2552,15402,2569,15402,2569,15374xm2407,15374l2327,15374,2327,15501,2410,15501,2410,15489,2343,15489,2343,15443,2390,15443,2390,15428,2343,15428,2343,15390,2407,15390,2407,15374xm2223,15374l2190,15374,2190,15501,2240,15501,2252,15499,2269,15489,2206,15489,2206,15390,2270,15390,2252,15379,2223,15374xm2270,15390l2225,15390,2246,15393,2260,15402,2269,15417,2272,15438,2269,15461,2261,15477,2246,15486,2226,15489,2269,15489,2272,15487,2284,15467,2288,15438,2284,15411,2272,15391,2270,15390xm2113,15374l2096,15374,2051,15501,2067,15501,2079,15467,2145,15467,2140,15453,2084,15453,2104,15394,2120,15394,2113,15374xm2145,15467l2129,15467,2140,15501,2157,15501,2145,15467xm2120,15394l2104,15394,2124,15453,2140,15453,2120,15394xm1980,15372l1957,15377,1940,15390,1929,15411,1925,15438,1926,15453,1929,15466,1934,15478,1940,15488,1948,15496,1957,15501,2001,15501,2011,15495,2015,15491,1980,15491,1964,15487,1952,15477,1944,15461,1942,15438,1944,15417,1952,15401,1964,15391,1980,15387,2015,15387,2010,15382,1997,15374,1980,15372xm2015,15460l2014,15460,2014,15461,2009,15474,2001,15483,1992,15489,1980,15491,2015,15491,2022,15482,2029,15464,2029,15463,2015,15460xm2015,15387l1980,15387,1991,15389,2000,15394,2007,15403,2012,15416,2012,15417,2028,15412,2027,15412,2021,15394,2015,15387xm1862,15374l1845,15374,1800,15501,1816,15501,1828,15467,1894,15467,1889,15453,1833,15453,1853,15394,1869,15394,1862,15374xm1894,15467l1878,15467,1889,15501,1906,15501,1894,15467xm1869,15394l1853,15394,1873,15453,1889,15453,1869,15394xe" filled="true" fillcolor="#000000" stroked="false">
          <v:path arrowok="t"/>
          <v:fill type="solid"/>
          <w10:wrap type="none"/>
        </v:shape>
      </w:pict>
    </w:r>
    <w:r>
      <w:rPr/>
      <w:drawing>
        <wp:anchor distT="0" distB="0" distL="0" distR="0" allowOverlap="1" layoutInCell="1" locked="0" behindDoc="1" simplePos="0" relativeHeight="268427831">
          <wp:simplePos x="0" y="0"/>
          <wp:positionH relativeFrom="page">
            <wp:posOffset>4376191</wp:posOffset>
          </wp:positionH>
          <wp:positionV relativeFrom="page">
            <wp:posOffset>9400628</wp:posOffset>
          </wp:positionV>
          <wp:extent cx="2253208" cy="44259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2253208" cy="442595"/>
                  </a:xfrm>
                  <a:prstGeom prst="rect">
                    <a:avLst/>
                  </a:prstGeom>
                </pic:spPr>
              </pic:pic>
            </a:graphicData>
          </a:graphic>
        </wp:anchor>
      </w:drawing>
    </w:r>
    <w:r>
      <w:rPr/>
      <w:pict>
        <v:shape style="position:absolute;margin-left:129.238007pt;margin-top:725.060425pt;width:61.8pt;height:39.6pt;mso-position-horizontal-relative:page;mso-position-vertical-relative:page;z-index:-7600" coordorigin="2585,14501" coordsize="1236,792" path="m3794,15223l3781,15226,3770,15234,3762,15244,3760,15258,3762,15272,3769,15283,3780,15290,3794,15293,3807,15290,3811,15288,3794,15288,3783,15285,3774,15279,3767,15270,3765,15258,3767,15247,3768,15246,3773,15237,3782,15231,3794,15229,3811,15229,3807,15226,3794,15223xm3820,15270l3814,15279,3805,15285,3794,15288,3811,15288,3818,15283,3820,15280,3820,15270xm3804,15239l3781,15239,3781,15276,3788,15276,3788,15262,3802,15262,3801,15261,3806,15259,3809,15256,3788,15256,3788,15245,3809,15245,3809,15242,3804,15239xm3802,15262l3794,15262,3802,15276,3809,15276,3802,15262xm3809,15245l3799,15245,3801,15246,3802,15254,3799,15256,3809,15256,3809,15245xm3585,14501l3202,14501,3139,14514,3079,14554,3039,14615,3024,14688,3024,15057,3039,15131,3079,15191,3139,15232,3212,15247,3575,15247,3649,15232,3709,15191,3749,15131,3764,15057,3764,15057,3278,15057,3267,15046,3267,14699,3278,14688,3764,14688,3749,14615,3709,14554,3649,14514,3585,14501xm3811,15229l3794,15229,3805,15231,3814,15237,3820,15246,3820,15236,3818,15234,3811,15229xm3764,14805l3458,14805,3458,14940,3521,14940,3521,15046,3510,15057,3764,15057,3764,14805xm3764,14688l3510,14688,3521,14699,3521,14754,3764,14754,3764,14688xm3002,15057l2585,15057,2585,15247,3002,15247,3002,15057xm2914,14501l2585,14501,2585,14689,2672,14689,2672,15057,2914,15057,2914,14501xe" filled="true" fillcolor="#0088ce" stroked="false">
          <v:path arrowok="t"/>
          <v:fill type="solid"/>
          <w10:wrap type="none"/>
        </v:shape>
      </w:pict>
    </w:r>
    <w:r>
      <w:rPr/>
      <w:pict>
        <v:shape style="position:absolute;margin-left:90.455399pt;margin-top:724.958801pt;width:37.7pt;height:37.4pt;mso-position-horizontal-relative:page;mso-position-vertical-relative:page;z-index:-7576" coordorigin="1809,14499" coordsize="754,748" path="m2521,14932l2288,14932,2294,14938,2294,15051,2288,15057,1809,15057,1809,15247,2369,15247,2444,15232,2506,15190,2548,15128,2563,15052,2552,14988,2523,14933,2521,14932xm2139,14689l1897,14689,1897,15057,2139,15057,2139,14932,2521,14932,2478,14891,2421,14865,2421,14863,2468,14835,2502,14797,2139,14797,2139,14689xm2349,14499l1809,14499,1809,14689,2281,14689,2287,14694,2287,14791,2281,14797,2502,14797,2504,14795,2528,14745,2537,14688,2522,14615,2482,14555,2422,14514,2349,14499xe" filled="true" fillcolor="#000000" stroked="false">
          <v:path arrowok="t"/>
          <v:fill type="solid"/>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49.325989pt;margin-top:28.001719pt;width:10.7pt;height:15.45pt;mso-position-horizontal-relative:page;mso-position-vertical-relative:page;z-index:-7672" type="#_x0000_t202" filled="false" stroked="false">
          <v:textbox inset="0,0,0,0">
            <w:txbxContent>
              <w:p>
                <w:pPr>
                  <w:pStyle w:val="BodyText"/>
                  <w:spacing w:before="12"/>
                  <w:ind w:left="40"/>
                </w:pPr>
                <w:r>
                  <w:rPr/>
                  <w:fldChar w:fldCharType="begin"/>
                </w:r>
                <w:r>
                  <w:rPr/>
                  <w:instrText> PAGE </w:instrText>
                </w:r>
                <w:r>
                  <w:rPr/>
                  <w:fldChar w:fldCharType="separate"/>
                </w:r>
                <w:r>
                  <w:rPr/>
                  <w:t>1</w:t>
                </w:r>
                <w:r>
                  <w:rPr/>
                  <w:fldChar w:fldCharType="end"/>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88"/>
      <w:ind w:left="100"/>
      <w:outlineLvl w:val="1"/>
    </w:pPr>
    <w:rPr>
      <w:rFonts w:ascii="Arial" w:hAnsi="Arial" w:eastAsia="Arial" w:cs="Arial"/>
      <w:b/>
      <w:bCs/>
      <w:sz w:val="36"/>
      <w:szCs w:val="36"/>
    </w:rPr>
  </w:style>
  <w:style w:styleId="Heading2" w:type="paragraph">
    <w:name w:val="Heading 2"/>
    <w:basedOn w:val="Normal"/>
    <w:uiPriority w:val="1"/>
    <w:qFormat/>
    <w:pPr>
      <w:ind w:left="100"/>
      <w:outlineLvl w:val="2"/>
    </w:pPr>
    <w:rPr>
      <w:rFonts w:ascii="Arial" w:hAnsi="Arial" w:eastAsia="Arial" w:cs="Arial"/>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spacing w:before="78"/>
      <w:ind w:left="77"/>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2018-11-28T02:48:59Z</dcterms:created>
  <dcterms:modified xsi:type="dcterms:W3CDTF">2018-11-28T02:48:59Z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2018-11-28T00:00:00Z</vt:filetime>
  </property>
</Properties>
</file>