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C0E03C6" w14:textId="7932FB3D" w:rsidR="000D156A" w:rsidRPr="00D8709B" w:rsidRDefault="00B22D0B" w:rsidP="00D8709B">
      <w:pPr>
        <w:pStyle w:val="DocumentTitle"/>
      </w:pPr>
      <w:r w:rsidRPr="00D8709B">
        <w:t>Proposal</w:t>
      </w:r>
    </w:p>
    <w:p w14:paraId="2FE247C2" w14:textId="77777777" w:rsidR="00D8709B" w:rsidRPr="00D8709B" w:rsidRDefault="00A83422" w:rsidP="00D8709B">
      <w:pPr>
        <w:pStyle w:val="SecondaryTitle"/>
      </w:pPr>
      <w:r w:rsidRPr="00D8709B">
        <w:t>Big Ten Student Design Challenge</w:t>
      </w:r>
    </w:p>
    <w:p w14:paraId="69348174" w14:textId="2041CF6C" w:rsidR="00D8709B" w:rsidRPr="00D8709B" w:rsidRDefault="001C02D1" w:rsidP="0033277B">
      <w:pPr>
        <w:pStyle w:val="DocumentSubtitle"/>
      </w:pPr>
      <w:r>
        <w:t>Purdue University</w:t>
      </w:r>
      <w:r w:rsidR="00D8709B" w:rsidRPr="00D8709B">
        <w:t xml:space="preserve"> | </w:t>
      </w:r>
      <w:r w:rsidR="00652F0A">
        <w:t xml:space="preserve">The </w:t>
      </w:r>
      <w:r w:rsidR="00724EA1">
        <w:t>Innovators</w:t>
      </w:r>
    </w:p>
    <w:p w14:paraId="44BC7C66" w14:textId="6EC5397B" w:rsidR="001C02D1" w:rsidRDefault="001C02D1" w:rsidP="0033277B">
      <w:pPr>
        <w:pStyle w:val="DocumentSubtitle"/>
      </w:pPr>
      <w:r>
        <w:t>Lindsey Hagerman, Justin Mamaril, Laura Blythe</w:t>
      </w:r>
    </w:p>
    <w:p w14:paraId="1F3B1F05" w14:textId="6265E1FC" w:rsidR="009C3633" w:rsidRDefault="009C3633" w:rsidP="0033277B">
      <w:pPr>
        <w:pStyle w:val="DocumentSubtitle"/>
      </w:pPr>
    </w:p>
    <w:p w14:paraId="799B6240" w14:textId="0910FFC1" w:rsidR="009C3633" w:rsidRDefault="008858CD" w:rsidP="0033277B">
      <w:pPr>
        <w:pStyle w:val="DocumentSubtitle"/>
      </w:pPr>
      <w:r>
        <w:rPr>
          <w:noProof/>
        </w:rPr>
        <w:drawing>
          <wp:inline distT="0" distB="0" distL="0" distR="0" wp14:anchorId="5C5458E9" wp14:editId="69DAC6FE">
            <wp:extent cx="6448425" cy="4972050"/>
            <wp:effectExtent l="0" t="0" r="9525" b="0"/>
            <wp:docPr id="5" name="Picture 1" descr="Class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lassroo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03" t="18750" r="26471" b="13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6614" w14:textId="7FF51174" w:rsidR="00924AE0" w:rsidRPr="0033277B" w:rsidRDefault="00924AE0" w:rsidP="0033277B">
      <w:pPr>
        <w:pStyle w:val="DocumentSubtitle"/>
      </w:pPr>
      <w:r w:rsidRPr="0033277B">
        <w:t>Renovation of collaborative space in Humanities &amp; Social Sciences Library</w:t>
      </w:r>
    </w:p>
    <w:p w14:paraId="5ED6F958" w14:textId="79288C3F" w:rsidR="00924AE0" w:rsidRPr="007C779E" w:rsidRDefault="00B22D0B" w:rsidP="007C779E">
      <w:pPr>
        <w:pStyle w:val="Title"/>
      </w:pPr>
      <w:r>
        <w:lastRenderedPageBreak/>
        <w:t>Vision</w:t>
      </w:r>
    </w:p>
    <w:p w14:paraId="30791312" w14:textId="4D99F8A3" w:rsidR="00414CBF" w:rsidRDefault="00924AE0" w:rsidP="00353708">
      <w:r>
        <w:t xml:space="preserve">The newly renovated </w:t>
      </w:r>
      <w:r w:rsidRPr="00414CBF">
        <w:rPr>
          <w:b/>
        </w:rPr>
        <w:t>collaborative</w:t>
      </w:r>
      <w:r w:rsidR="00414CBF">
        <w:t xml:space="preserve"> and </w:t>
      </w:r>
      <w:r w:rsidR="00414CBF" w:rsidRPr="00414CBF">
        <w:rPr>
          <w:b/>
        </w:rPr>
        <w:t>multipurpose</w:t>
      </w:r>
      <w:r>
        <w:t xml:space="preserve"> space located in HSSE Library is a hidden gem for students on Purdue’s campus. Located at an </w:t>
      </w:r>
      <w:r w:rsidRPr="00414CBF">
        <w:rPr>
          <w:b/>
        </w:rPr>
        <w:t>intersection</w:t>
      </w:r>
      <w:r>
        <w:t xml:space="preserve"> between </w:t>
      </w:r>
      <w:r w:rsidR="00414CBF">
        <w:t xml:space="preserve">the </w:t>
      </w:r>
      <w:r>
        <w:t xml:space="preserve">Purdue Memorial Union and </w:t>
      </w:r>
      <w:r w:rsidR="00414CBF">
        <w:t>Memorial Mall, this new space becomes</w:t>
      </w:r>
      <w:r w:rsidR="00B554F5">
        <w:t xml:space="preserve"> a prime location for multiple different function</w:t>
      </w:r>
      <w:r w:rsidR="009D2ED0">
        <w:t>s</w:t>
      </w:r>
      <w:r w:rsidR="00414CBF">
        <w:t>. Some of these possibilities are as follows:</w:t>
      </w:r>
    </w:p>
    <w:p w14:paraId="7A302ED7" w14:textId="2FC9ABDA" w:rsidR="00414CBF" w:rsidRDefault="00414CBF" w:rsidP="00580F75">
      <w:pPr>
        <w:pStyle w:val="ListParagraph"/>
        <w:numPr>
          <w:ilvl w:val="0"/>
          <w:numId w:val="43"/>
        </w:numPr>
        <w:spacing w:line="240" w:lineRule="auto"/>
      </w:pPr>
      <w:r>
        <w:t xml:space="preserve">Host a lecture in a </w:t>
      </w:r>
      <w:r w:rsidR="007C779E">
        <w:t xml:space="preserve">more casual classroom </w:t>
      </w:r>
      <w:r>
        <w:t xml:space="preserve">setting by seating over 12 students and an instructor </w:t>
      </w:r>
    </w:p>
    <w:p w14:paraId="22D03CA4" w14:textId="36012948" w:rsidR="00414CBF" w:rsidRDefault="00B04768" w:rsidP="00580F75">
      <w:pPr>
        <w:pStyle w:val="ListParagraph"/>
        <w:numPr>
          <w:ilvl w:val="0"/>
          <w:numId w:val="43"/>
        </w:numPr>
        <w:spacing w:line="240" w:lineRule="auto"/>
      </w:pPr>
      <w:r>
        <w:t>Group project meetings</w:t>
      </w:r>
    </w:p>
    <w:p w14:paraId="0B8D80B3" w14:textId="6EA48259" w:rsidR="00414CBF" w:rsidRDefault="00B04768" w:rsidP="00580F75">
      <w:pPr>
        <w:pStyle w:val="ListParagraph"/>
        <w:numPr>
          <w:ilvl w:val="0"/>
          <w:numId w:val="43"/>
        </w:numPr>
        <w:spacing w:line="240" w:lineRule="auto"/>
      </w:pPr>
      <w:r>
        <w:t>Study space for individuals or groups of students</w:t>
      </w:r>
    </w:p>
    <w:p w14:paraId="38298C57" w14:textId="66A39584" w:rsidR="00B04768" w:rsidRDefault="00B04768" w:rsidP="00580F75">
      <w:pPr>
        <w:pStyle w:val="ListParagraph"/>
        <w:numPr>
          <w:ilvl w:val="0"/>
          <w:numId w:val="43"/>
        </w:numPr>
        <w:spacing w:line="240" w:lineRule="auto"/>
      </w:pPr>
      <w:r>
        <w:t>Host an extrac</w:t>
      </w:r>
      <w:r w:rsidR="00254AAE">
        <w:t>urricular activity meeting (e</w:t>
      </w:r>
      <w:r>
        <w:t>x. Environmental Science Club)</w:t>
      </w:r>
    </w:p>
    <w:p w14:paraId="3E8F6346" w14:textId="3943E5CE" w:rsidR="00414CBF" w:rsidRDefault="00414CBF" w:rsidP="00414CBF">
      <w:pPr>
        <w:pStyle w:val="ListParagraph"/>
        <w:numPr>
          <w:ilvl w:val="0"/>
          <w:numId w:val="43"/>
        </w:numPr>
        <w:spacing w:line="240" w:lineRule="auto"/>
      </w:pPr>
      <w:r>
        <w:t>A convenient place to bring your lunch and rejuvenate in a busy day of classes</w:t>
      </w:r>
    </w:p>
    <w:p w14:paraId="7CD3E0FB" w14:textId="77777777" w:rsidR="00580F75" w:rsidRDefault="00580F75" w:rsidP="00580F75">
      <w:pPr>
        <w:pStyle w:val="ListParagraph"/>
        <w:numPr>
          <w:ilvl w:val="0"/>
          <w:numId w:val="0"/>
        </w:numPr>
        <w:spacing w:line="240" w:lineRule="auto"/>
        <w:ind w:left="1440"/>
      </w:pPr>
    </w:p>
    <w:p w14:paraId="34956A08" w14:textId="63B618DC" w:rsidR="00414CBF" w:rsidRDefault="00414CBF" w:rsidP="00414CBF">
      <w:pPr>
        <w:spacing w:line="240" w:lineRule="auto"/>
      </w:pPr>
      <w:r>
        <w:t xml:space="preserve">As a school that is well known for the quality of its students, a well-rounded education, the importance of collaboration and teamwork, and assisting students towards </w:t>
      </w:r>
      <w:r w:rsidR="00060C8F">
        <w:t>excellen</w:t>
      </w:r>
      <w:r w:rsidR="00D67774">
        <w:t>cy</w:t>
      </w:r>
      <w:r>
        <w:t xml:space="preserve"> in what they pursue, the design of Purdue’s facilities must reflect just that. </w:t>
      </w:r>
    </w:p>
    <w:p w14:paraId="4BC1FC6B" w14:textId="321C25EA" w:rsidR="009D2ED0" w:rsidRDefault="009D2ED0" w:rsidP="009D2ED0">
      <w:pPr>
        <w:spacing w:line="240" w:lineRule="auto"/>
      </w:pPr>
      <w:r>
        <w:t xml:space="preserve">The vision of this new space is to provide students with a place that will assist and </w:t>
      </w:r>
      <w:r w:rsidRPr="007C779E">
        <w:rPr>
          <w:b/>
        </w:rPr>
        <w:t>equip</w:t>
      </w:r>
      <w:r>
        <w:t xml:space="preserve"> them in reaching their full academic potential. This space is designed in a way that doesn’t hinder collaboration or one on one learning with a professor. Rather, it is a space that encourages many different types of students and faculty to come and </w:t>
      </w:r>
      <w:r w:rsidRPr="009D2ED0">
        <w:rPr>
          <w:b/>
        </w:rPr>
        <w:t>engage</w:t>
      </w:r>
      <w:r>
        <w:t xml:space="preserve"> with their campus environment and peers as often and intensely as they choose. It is hoped to be a memorable space that students desire to return to</w:t>
      </w:r>
      <w:r w:rsidR="00060C8F">
        <w:t>,</w:t>
      </w:r>
      <w:r>
        <w:t xml:space="preserve"> and one that they are quick to suggest as a meeting spot for group projects or other activities. </w:t>
      </w:r>
    </w:p>
    <w:p w14:paraId="6BFD65F1" w14:textId="77777777" w:rsidR="009D2ED0" w:rsidRDefault="009D2ED0" w:rsidP="009D2ED0">
      <w:r>
        <w:t xml:space="preserve">Through the special selection of furniture and arrangements, the space stresses the importance of a student having the </w:t>
      </w:r>
      <w:r w:rsidRPr="005C7F4A">
        <w:rPr>
          <w:b/>
        </w:rPr>
        <w:t>choice and control</w:t>
      </w:r>
      <w:r>
        <w:t xml:space="preserve"> to either work individually or with others. Every students learning style is different and this design supports just that. </w:t>
      </w:r>
    </w:p>
    <w:p w14:paraId="37A12D4E" w14:textId="77777777" w:rsidR="00414CBF" w:rsidRDefault="00414CBF" w:rsidP="00353708"/>
    <w:p w14:paraId="2D2F66F3" w14:textId="7315E6EA" w:rsidR="00353708" w:rsidRDefault="00353708" w:rsidP="00D8709B">
      <w:pPr>
        <w:rPr>
          <w:highlight w:val="yellow"/>
        </w:rPr>
      </w:pPr>
    </w:p>
    <w:p w14:paraId="35F9AEE0" w14:textId="519FB1E1" w:rsidR="009D2ED0" w:rsidRPr="003C2DC5" w:rsidRDefault="009D2ED0" w:rsidP="009D2ED0">
      <w:pPr>
        <w:pStyle w:val="Title"/>
      </w:pPr>
      <w:r w:rsidRPr="003C2DC5">
        <w:lastRenderedPageBreak/>
        <w:t>Description</w:t>
      </w:r>
    </w:p>
    <w:p w14:paraId="1E95D1B2" w14:textId="77777777" w:rsidR="009D2ED0" w:rsidRPr="000A5E43" w:rsidRDefault="009D2ED0" w:rsidP="009D2ED0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7F9AA8EB" wp14:editId="65FD7F90">
            <wp:extent cx="4639235" cy="3927769"/>
            <wp:effectExtent l="0" t="0" r="9525" b="0"/>
            <wp:docPr id="4" name="Picture 4" descr="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xterio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5" t="12148" r="2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345" cy="395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A5E85" w14:textId="5FFC4B9A" w:rsidR="009D2ED0" w:rsidRDefault="009D2ED0" w:rsidP="009D2ED0">
      <w:r w:rsidRPr="00B45886">
        <w:t xml:space="preserve">Upon walking in you are greeted by a green wall </w:t>
      </w:r>
      <w:r>
        <w:t xml:space="preserve">of preserved moss. This natural element creates an intriguing </w:t>
      </w:r>
      <w:r w:rsidRPr="00550A1B">
        <w:rPr>
          <w:b/>
        </w:rPr>
        <w:t>focal point</w:t>
      </w:r>
      <w:r>
        <w:t xml:space="preserve"> that draws passersby into the space and assists in ensuring that the space will be utilized to its </w:t>
      </w:r>
      <w:r w:rsidRPr="00550A1B">
        <w:rPr>
          <w:b/>
        </w:rPr>
        <w:t>maximum potential</w:t>
      </w:r>
      <w:r>
        <w:t xml:space="preserve"> by students and staff. The green wall disguises the presence of a supporting column and serves as a </w:t>
      </w:r>
      <w:r w:rsidRPr="00550A1B">
        <w:rPr>
          <w:b/>
        </w:rPr>
        <w:t>privacy</w:t>
      </w:r>
      <w:r>
        <w:t xml:space="preserve"> barrier to those occupying the space. The south wall is an interior glazing system, so a </w:t>
      </w:r>
      <w:r w:rsidR="00550A1B">
        <w:t xml:space="preserve">green </w:t>
      </w:r>
      <w:r>
        <w:t xml:space="preserve">wall could provide staff and students with an extra sense of </w:t>
      </w:r>
      <w:r w:rsidRPr="00550A1B">
        <w:rPr>
          <w:b/>
        </w:rPr>
        <w:t>security</w:t>
      </w:r>
      <w:r>
        <w:t xml:space="preserve"> and </w:t>
      </w:r>
      <w:r w:rsidRPr="00550A1B">
        <w:rPr>
          <w:b/>
        </w:rPr>
        <w:t>privacy</w:t>
      </w:r>
      <w:r>
        <w:t xml:space="preserve"> – especially if the room was being used as a classroom.</w:t>
      </w:r>
    </w:p>
    <w:p w14:paraId="612911BF" w14:textId="1DDF7ABD" w:rsidR="009D2ED0" w:rsidRDefault="00060C8F" w:rsidP="009D2ED0">
      <w:r>
        <w:t>Research in evidence-</w:t>
      </w:r>
      <w:r w:rsidR="009D2ED0">
        <w:t xml:space="preserve">based design has shown that access to views and natural elements within a space can improve people’s </w:t>
      </w:r>
      <w:r w:rsidR="009D2ED0" w:rsidRPr="00550A1B">
        <w:rPr>
          <w:b/>
        </w:rPr>
        <w:t>wellbeing</w:t>
      </w:r>
      <w:r w:rsidR="009D2ED0">
        <w:t xml:space="preserve"> and </w:t>
      </w:r>
      <w:r w:rsidR="009D2ED0" w:rsidRPr="00550A1B">
        <w:rPr>
          <w:b/>
        </w:rPr>
        <w:t>productivity</w:t>
      </w:r>
      <w:r w:rsidR="009D2ED0">
        <w:t xml:space="preserve"> levels. Since this existing space does not contain windows, why not bring nature indoors? Furthermore, the green wall serves to absorb excess noise and purify the air – improving </w:t>
      </w:r>
      <w:r w:rsidR="009D2ED0" w:rsidRPr="00550A1B">
        <w:rPr>
          <w:b/>
        </w:rPr>
        <w:t>indoor air quality</w:t>
      </w:r>
      <w:r w:rsidR="009D2ED0">
        <w:t xml:space="preserve"> to those occupying the space. This improved air quality and comfortable acoustic levels could lead to increased </w:t>
      </w:r>
      <w:r w:rsidR="009D2ED0" w:rsidRPr="00550A1B">
        <w:rPr>
          <w:b/>
        </w:rPr>
        <w:t>productivity</w:t>
      </w:r>
      <w:r w:rsidR="009D2ED0">
        <w:t xml:space="preserve"> and </w:t>
      </w:r>
      <w:r w:rsidR="009D2ED0" w:rsidRPr="00550A1B">
        <w:rPr>
          <w:b/>
        </w:rPr>
        <w:t>wellbeing</w:t>
      </w:r>
      <w:r w:rsidR="009D2ED0">
        <w:t xml:space="preserve"> – allowing students to reach their full potential. </w:t>
      </w:r>
    </w:p>
    <w:p w14:paraId="46B696E0" w14:textId="1CDAB19A" w:rsidR="009D2ED0" w:rsidRDefault="009D2ED0" w:rsidP="009D2ED0">
      <w:r>
        <w:lastRenderedPageBreak/>
        <w:t xml:space="preserve">The floorplan is arranged with the larger, more permanent furniture elements defining the perimeter of the room, and the smaller, </w:t>
      </w:r>
      <w:r w:rsidR="00B0155A">
        <w:t>mobile elements</w:t>
      </w:r>
      <w:r>
        <w:t xml:space="preserve"> in the center. This </w:t>
      </w:r>
      <w:r w:rsidRPr="004C48F8">
        <w:rPr>
          <w:b/>
        </w:rPr>
        <w:t>anchorage</w:t>
      </w:r>
      <w:r>
        <w:t xml:space="preserve"> enables </w:t>
      </w:r>
      <w:r w:rsidRPr="004C48F8">
        <w:rPr>
          <w:b/>
        </w:rPr>
        <w:t>intuitive</w:t>
      </w:r>
      <w:r>
        <w:t xml:space="preserve"> traffic flow within the space and provides staff and students a </w:t>
      </w:r>
      <w:r w:rsidRPr="004C48F8">
        <w:rPr>
          <w:b/>
        </w:rPr>
        <w:t>choice</w:t>
      </w:r>
      <w:r>
        <w:t xml:space="preserve"> to either partake in collaborative activities (center) or individual tasks (perimeter). </w:t>
      </w:r>
      <w:r w:rsidR="00B0155A">
        <w:t xml:space="preserve">The floorplan and arrangement also allow for the space to easily be mirrored on the other half </w:t>
      </w:r>
      <w:r w:rsidR="00566760">
        <w:t xml:space="preserve">of the room </w:t>
      </w:r>
    </w:p>
    <w:p w14:paraId="6F011578" w14:textId="71176193" w:rsidR="009D2ED0" w:rsidRDefault="008858CD" w:rsidP="00566760">
      <w:r>
        <w:rPr>
          <w:noProof/>
        </w:rPr>
        <w:drawing>
          <wp:inline distT="0" distB="0" distL="0" distR="0" wp14:anchorId="13D65E16" wp14:editId="5D390F93">
            <wp:extent cx="6200775" cy="3914775"/>
            <wp:effectExtent l="0" t="0" r="9525" b="9525"/>
            <wp:docPr id="3" name="Picture 2" descr="Floor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loorpla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1" t="25041" r="8058" b="16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66F92" w14:textId="0C6370B9" w:rsidR="002C41FC" w:rsidRDefault="002C41FC" w:rsidP="00B22D0B">
      <w:r>
        <w:t xml:space="preserve">The custom countertop and </w:t>
      </w:r>
      <w:r w:rsidR="00B0155A">
        <w:t xml:space="preserve">underneath </w:t>
      </w:r>
      <w:r>
        <w:t xml:space="preserve">Softsquare seating located on the east wall </w:t>
      </w:r>
      <w:r w:rsidR="00922EE3">
        <w:t xml:space="preserve">allows students who desire to work individually to return to a </w:t>
      </w:r>
      <w:r w:rsidR="00922EE3" w:rsidRPr="004C48F8">
        <w:rPr>
          <w:b/>
        </w:rPr>
        <w:t>familiar</w:t>
      </w:r>
      <w:r w:rsidR="00922EE3">
        <w:t xml:space="preserve"> place. Students are people of habit and find </w:t>
      </w:r>
      <w:r w:rsidR="00922EE3" w:rsidRPr="004C48F8">
        <w:rPr>
          <w:b/>
        </w:rPr>
        <w:t>comfort</w:t>
      </w:r>
      <w:r w:rsidR="00922EE3">
        <w:t xml:space="preserve"> in being able to return to the same spot that t</w:t>
      </w:r>
      <w:r w:rsidR="004C48F8">
        <w:t xml:space="preserve">hey previously occupied. </w:t>
      </w:r>
      <w:r>
        <w:t xml:space="preserve">This work station is </w:t>
      </w:r>
      <w:r w:rsidR="00475377">
        <w:t xml:space="preserve">also </w:t>
      </w:r>
      <w:r>
        <w:t xml:space="preserve">ADA compliant and is located </w:t>
      </w:r>
      <w:r w:rsidR="004C48F8">
        <w:t xml:space="preserve">on the primary </w:t>
      </w:r>
      <w:r w:rsidR="00922EE3">
        <w:t>circulation path – allowing those in wheelchairs</w:t>
      </w:r>
      <w:r w:rsidR="004C48F8">
        <w:t xml:space="preserve"> </w:t>
      </w:r>
      <w:r w:rsidR="004C48F8" w:rsidRPr="004C48F8">
        <w:rPr>
          <w:b/>
        </w:rPr>
        <w:t>ease of access</w:t>
      </w:r>
      <w:r w:rsidR="004C48F8">
        <w:t>.</w:t>
      </w:r>
      <w:r w:rsidR="00922EE3">
        <w:t xml:space="preserve"> Rather than designating a recognizable ha</w:t>
      </w:r>
      <w:r w:rsidR="00B0155A">
        <w:t xml:space="preserve">ndicapped spot within </w:t>
      </w:r>
      <w:r w:rsidR="00922EE3">
        <w:t xml:space="preserve">that can sometimes be uncomfortable for users to occupy, this work station blurs those lines and </w:t>
      </w:r>
      <w:r w:rsidR="004C48F8">
        <w:t>allows many</w:t>
      </w:r>
      <w:r w:rsidR="00922EE3">
        <w:t xml:space="preserve"> different students to occupy the space comfortably. </w:t>
      </w:r>
    </w:p>
    <w:p w14:paraId="1D0B5CC6" w14:textId="598F2CB6" w:rsidR="003F0EF3" w:rsidRDefault="003F0EF3" w:rsidP="00B22D0B">
      <w:r>
        <w:t xml:space="preserve">The center of the space is populated </w:t>
      </w:r>
      <w:r w:rsidR="00CD1F38">
        <w:t>by three</w:t>
      </w:r>
      <w:r w:rsidR="002747F6">
        <w:t xml:space="preserve"> Intersect tables </w:t>
      </w:r>
      <w:r w:rsidR="004C48F8">
        <w:t xml:space="preserve">and </w:t>
      </w:r>
      <w:r>
        <w:t xml:space="preserve">12 </w:t>
      </w:r>
      <w:r w:rsidR="004C48F8">
        <w:t>Keyn chairs.</w:t>
      </w:r>
      <w:r>
        <w:t xml:space="preserve"> </w:t>
      </w:r>
      <w:r w:rsidR="004C48F8">
        <w:t xml:space="preserve">These furniture elements are </w:t>
      </w:r>
      <w:r>
        <w:t>easily moveable –</w:t>
      </w:r>
      <w:r w:rsidR="002747F6">
        <w:t xml:space="preserve"> providing</w:t>
      </w:r>
      <w:r>
        <w:t xml:space="preserve"> dozens of furniture arrangements </w:t>
      </w:r>
      <w:r w:rsidR="002747F6">
        <w:t xml:space="preserve">and allowing </w:t>
      </w:r>
      <w:r w:rsidR="004C48F8">
        <w:t xml:space="preserve">users the </w:t>
      </w:r>
      <w:r w:rsidR="00214D3A">
        <w:rPr>
          <w:b/>
        </w:rPr>
        <w:t>control</w:t>
      </w:r>
      <w:r>
        <w:t xml:space="preserve"> to the best learning environment. The Intersect table is fo</w:t>
      </w:r>
      <w:r w:rsidR="00214D3A">
        <w:t>ldable</w:t>
      </w:r>
      <w:r w:rsidR="00CD1F38">
        <w:t>,</w:t>
      </w:r>
      <w:r w:rsidR="00214D3A">
        <w:t xml:space="preserve"> allowing it to be shortened</w:t>
      </w:r>
      <w:r>
        <w:t xml:space="preserve"> if needed by fewer students or</w:t>
      </w:r>
      <w:r w:rsidR="002747F6">
        <w:t xml:space="preserve"> to be</w:t>
      </w:r>
      <w:r w:rsidR="00214D3A">
        <w:t xml:space="preserve"> stored away</w:t>
      </w:r>
      <w:r>
        <w:t xml:space="preserve"> if not in use. </w:t>
      </w:r>
      <w:r w:rsidR="002747F6">
        <w:t xml:space="preserve">The </w:t>
      </w:r>
      <w:r w:rsidR="002747F6">
        <w:lastRenderedPageBreak/>
        <w:t>stackable Keyn chair work</w:t>
      </w:r>
      <w:r w:rsidR="00DB013F">
        <w:t>s</w:t>
      </w:r>
      <w:r w:rsidR="002747F6">
        <w:t xml:space="preserve"> in the same way </w:t>
      </w:r>
      <w:r w:rsidR="00153DD0">
        <w:t>and allows</w:t>
      </w:r>
      <w:r w:rsidR="002747F6">
        <w:t xml:space="preserve"> up to 12 students seated comfortably around the Intersect tables. </w:t>
      </w:r>
      <w:r w:rsidR="00214D3A">
        <w:t>When these pieces are stored awa</w:t>
      </w:r>
      <w:r w:rsidR="00CD1F38">
        <w:t>y, the space can open up and be</w:t>
      </w:r>
      <w:r w:rsidR="00214D3A">
        <w:t xml:space="preserve"> transformed </w:t>
      </w:r>
      <w:r>
        <w:t xml:space="preserve">to host different activities. This </w:t>
      </w:r>
      <w:r w:rsidRPr="00214D3A">
        <w:rPr>
          <w:b/>
        </w:rPr>
        <w:t>flexibility</w:t>
      </w:r>
      <w:r>
        <w:t xml:space="preserve"> </w:t>
      </w:r>
      <w:r w:rsidR="002747F6">
        <w:t xml:space="preserve">in furnishings </w:t>
      </w:r>
      <w:r w:rsidR="002747F6" w:rsidRPr="00214D3A">
        <w:rPr>
          <w:b/>
        </w:rPr>
        <w:t>maximizes real estate</w:t>
      </w:r>
      <w:r w:rsidR="002747F6">
        <w:t xml:space="preserve"> by creating </w:t>
      </w:r>
      <w:r w:rsidR="002747F6" w:rsidRPr="00214D3A">
        <w:rPr>
          <w:b/>
        </w:rPr>
        <w:t>multi-functionality</w:t>
      </w:r>
      <w:r w:rsidR="002747F6">
        <w:t xml:space="preserve"> while giving </w:t>
      </w:r>
      <w:r w:rsidR="002747F6" w:rsidRPr="00214D3A">
        <w:rPr>
          <w:b/>
        </w:rPr>
        <w:t>choice and control</w:t>
      </w:r>
      <w:r w:rsidR="00214D3A">
        <w:t xml:space="preserve"> to staff and students</w:t>
      </w:r>
      <w:r w:rsidR="002747F6">
        <w:t xml:space="preserve">. </w:t>
      </w:r>
    </w:p>
    <w:p w14:paraId="1CD0D889" w14:textId="07FB3A6F" w:rsidR="00AE7635" w:rsidRDefault="00AE7635" w:rsidP="00B22D0B">
      <w:r>
        <w:t>Additio</w:t>
      </w:r>
      <w:r w:rsidR="00183ADF">
        <w:t>nally, the Envelope Desk and</w:t>
      </w:r>
      <w:r>
        <w:t xml:space="preserve"> Caper task chair are located in </w:t>
      </w:r>
      <w:r w:rsidR="00214D3A">
        <w:t xml:space="preserve">the center of the space. </w:t>
      </w:r>
      <w:r>
        <w:t xml:space="preserve">The aesthetic quality and </w:t>
      </w:r>
      <w:r w:rsidRPr="00214D3A">
        <w:rPr>
          <w:b/>
        </w:rPr>
        <w:t>distinction</w:t>
      </w:r>
      <w:r>
        <w:t xml:space="preserve"> that these pieces provide informs students </w:t>
      </w:r>
      <w:r w:rsidR="00214D3A">
        <w:t>that they are reserved for teachers</w:t>
      </w:r>
      <w:r w:rsidR="00183ADF">
        <w:t xml:space="preserve"> in</w:t>
      </w:r>
      <w:r>
        <w:t xml:space="preserve"> the space. However these furniture pieces are not</w:t>
      </w:r>
      <w:r w:rsidR="00214D3A">
        <w:t xml:space="preserve"> so distinct that they create</w:t>
      </w:r>
      <w:r>
        <w:t xml:space="preserve"> a separation between </w:t>
      </w:r>
      <w:r w:rsidR="00183ADF">
        <w:t>teacher and student</w:t>
      </w:r>
      <w:r>
        <w:t xml:space="preserve"> when conversing. Rather, they provide the option for </w:t>
      </w:r>
      <w:r w:rsidR="00214D3A">
        <w:t>teachers to join</w:t>
      </w:r>
      <w:r>
        <w:t xml:space="preserve"> the Intersect tables with students to encourage transparency and a more casual learning and </w:t>
      </w:r>
      <w:r w:rsidRPr="00183ADF">
        <w:rPr>
          <w:b/>
        </w:rPr>
        <w:t>collaborative</w:t>
      </w:r>
      <w:r>
        <w:t xml:space="preserve"> setting. </w:t>
      </w:r>
      <w:r w:rsidR="00DB013F">
        <w:t>The</w:t>
      </w:r>
      <w:r w:rsidR="00183ADF">
        <w:t xml:space="preserve"> height adjustable Envelope Desk allows the teacher </w:t>
      </w:r>
      <w:r w:rsidR="00214D3A">
        <w:t>to stand and teach</w:t>
      </w:r>
      <w:r w:rsidR="00DB013F">
        <w:t xml:space="preserve"> at the front of the room</w:t>
      </w:r>
      <w:r w:rsidR="00183ADF">
        <w:t>,</w:t>
      </w:r>
      <w:r w:rsidR="00DB013F">
        <w:t xml:space="preserve"> similar to what a podium would provide. </w:t>
      </w:r>
    </w:p>
    <w:p w14:paraId="2821D69D" w14:textId="0B93949A" w:rsidR="00A47D20" w:rsidRDefault="00A47D20" w:rsidP="00B22D0B">
      <w:r>
        <w:t>Lastly, two sets of Eames standing height tables and Caper stools are located towards the south wall of w</w:t>
      </w:r>
      <w:r w:rsidR="00183ADF">
        <w:t>indows. These work spaces</w:t>
      </w:r>
      <w:r>
        <w:t xml:space="preserve"> provide a sense of depth and height change in the new space. They also give students the option to work standing up which encourages them to stay </w:t>
      </w:r>
      <w:r w:rsidRPr="00183ADF">
        <w:rPr>
          <w:b/>
        </w:rPr>
        <w:t>active</w:t>
      </w:r>
      <w:r>
        <w:t xml:space="preserve"> and engage in </w:t>
      </w:r>
      <w:r w:rsidRPr="00183ADF">
        <w:rPr>
          <w:b/>
        </w:rPr>
        <w:t>collaboration</w:t>
      </w:r>
      <w:r>
        <w:t xml:space="preserve"> with their peers. A Herman Miller mobile white board is provided to allow additional </w:t>
      </w:r>
      <w:r w:rsidRPr="00183ADF">
        <w:rPr>
          <w:b/>
        </w:rPr>
        <w:t>privacy</w:t>
      </w:r>
      <w:r>
        <w:t xml:space="preserve"> between these two sets of furnishings. </w:t>
      </w:r>
    </w:p>
    <w:p w14:paraId="0140FF46" w14:textId="299918E9" w:rsidR="00475377" w:rsidRDefault="00153DD0" w:rsidP="00B22D0B">
      <w:r>
        <w:t>Within the $5,000</w:t>
      </w:r>
      <w:r w:rsidR="009D2ED0">
        <w:t xml:space="preserve"> budget,</w:t>
      </w:r>
      <w:r>
        <w:t xml:space="preserve"> a c</w:t>
      </w:r>
      <w:r w:rsidR="00475377">
        <w:t>ustom countertop and Prospect stool</w:t>
      </w:r>
      <w:r w:rsidR="009D2ED0">
        <w:t>s</w:t>
      </w:r>
      <w:r w:rsidR="00475377">
        <w:t xml:space="preserve"> </w:t>
      </w:r>
      <w:r w:rsidR="009D2ED0">
        <w:t>are</w:t>
      </w:r>
      <w:r w:rsidR="00CD1F38">
        <w:t xml:space="preserve"> provided, </w:t>
      </w:r>
      <w:r w:rsidR="00475377">
        <w:t xml:space="preserve">surrounding the </w:t>
      </w:r>
      <w:r w:rsidR="00550A1B">
        <w:t xml:space="preserve">column and green wall for different seating options. </w:t>
      </w:r>
      <w:r w:rsidR="003F0EF3">
        <w:t>This area provides</w:t>
      </w:r>
      <w:r w:rsidR="00475377">
        <w:t xml:space="preserve"> the option for students to work </w:t>
      </w:r>
      <w:r w:rsidR="003F0EF3">
        <w:t xml:space="preserve">seated or at a standing height – encouraging them to stay </w:t>
      </w:r>
      <w:r w:rsidR="003F0EF3" w:rsidRPr="004B383F">
        <w:rPr>
          <w:b/>
        </w:rPr>
        <w:t>active</w:t>
      </w:r>
      <w:r w:rsidR="003F0EF3">
        <w:t xml:space="preserve">. </w:t>
      </w:r>
      <w:r w:rsidR="00475377">
        <w:t xml:space="preserve">It is located in the center of the room – allowing for additional seating when </w:t>
      </w:r>
      <w:r w:rsidR="003F0EF3">
        <w:t xml:space="preserve">teachers are giving a lecture. </w:t>
      </w:r>
    </w:p>
    <w:p w14:paraId="32C5A612" w14:textId="364F14B3" w:rsidR="00183ADF" w:rsidRPr="00B1462C" w:rsidRDefault="009D2ED0" w:rsidP="00B22D0B">
      <w:pPr>
        <w:rPr>
          <w:b/>
          <w:u w:val="single"/>
        </w:rPr>
      </w:pPr>
      <w:r w:rsidRPr="00B1462C">
        <w:rPr>
          <w:b/>
          <w:u w:val="single"/>
        </w:rPr>
        <w:t>Finish Selections</w:t>
      </w:r>
    </w:p>
    <w:p w14:paraId="12D9E8B4" w14:textId="13585C24" w:rsidR="009D2ED0" w:rsidRDefault="009D2ED0" w:rsidP="00B22D0B">
      <w:r>
        <w:t xml:space="preserve">The existing areas surrounding this new space in HSSE contain deep blues, turquoise, and yellow. To provide a </w:t>
      </w:r>
      <w:r w:rsidRPr="00566760">
        <w:rPr>
          <w:b/>
        </w:rPr>
        <w:t xml:space="preserve">seamless </w:t>
      </w:r>
      <w:r w:rsidR="00B1462C" w:rsidRPr="00566760">
        <w:rPr>
          <w:b/>
        </w:rPr>
        <w:t>transition</w:t>
      </w:r>
      <w:r w:rsidR="00B1462C">
        <w:t xml:space="preserve"> into this renovated space, those same colors are utilized and </w:t>
      </w:r>
      <w:r w:rsidR="00B1462C" w:rsidRPr="00566760">
        <w:rPr>
          <w:b/>
        </w:rPr>
        <w:t>polished</w:t>
      </w:r>
      <w:r w:rsidR="00B1462C">
        <w:t xml:space="preserve"> – providing </w:t>
      </w:r>
      <w:r w:rsidR="00B1462C" w:rsidRPr="00566760">
        <w:rPr>
          <w:b/>
        </w:rPr>
        <w:t>harmony</w:t>
      </w:r>
      <w:r w:rsidR="00B1462C">
        <w:t xml:space="preserve"> with the existing space. These colors are seen in the chosen Twist upholstery, alternating LVT colors, and seat and back finishes for chairs. </w:t>
      </w:r>
    </w:p>
    <w:p w14:paraId="24C0C49F" w14:textId="74BB900A" w:rsidR="00B1462C" w:rsidRDefault="00B1462C" w:rsidP="00B22D0B">
      <w:r>
        <w:t>Wall considerations include a Purdue yellow accent wall that functions as a focal point in the space and supports university spirit. The other existing off white painted wal</w:t>
      </w:r>
      <w:r w:rsidR="00566760">
        <w:t>ls and</w:t>
      </w:r>
      <w:r>
        <w:t xml:space="preserve"> the 2x2 grid ceiling and lights are both in good condition. These remain as is</w:t>
      </w:r>
      <w:r w:rsidR="00566760">
        <w:t xml:space="preserve"> and </w:t>
      </w:r>
      <w:r>
        <w:t xml:space="preserve">aid in </w:t>
      </w:r>
      <w:r w:rsidRPr="004B383F">
        <w:rPr>
          <w:b/>
        </w:rPr>
        <w:t>sustainable</w:t>
      </w:r>
      <w:r>
        <w:t xml:space="preserve"> consideration</w:t>
      </w:r>
      <w:r w:rsidR="00566760">
        <w:t>s to</w:t>
      </w:r>
      <w:r>
        <w:t xml:space="preserve"> reduces overall product</w:t>
      </w:r>
      <w:r w:rsidR="00566760">
        <w:t xml:space="preserve"> usage</w:t>
      </w:r>
      <w:r>
        <w:t xml:space="preserve">, cost, and labor needed. </w:t>
      </w:r>
    </w:p>
    <w:p w14:paraId="2453D155" w14:textId="0A8F3DD8" w:rsidR="00B1462C" w:rsidRDefault="00B0155A" w:rsidP="009D2ED0">
      <w:r>
        <w:t>New</w:t>
      </w:r>
      <w:r w:rsidR="00B1462C">
        <w:t xml:space="preserve"> flooring consists of Armst</w:t>
      </w:r>
      <w:r>
        <w:t xml:space="preserve">rong Diamond 10 technology LVT that provides ease of </w:t>
      </w:r>
      <w:r w:rsidR="009D2ED0" w:rsidRPr="00B45886">
        <w:t xml:space="preserve">maintenance, </w:t>
      </w:r>
      <w:r w:rsidR="00B1462C">
        <w:t>mobility, and</w:t>
      </w:r>
      <w:r>
        <w:t xml:space="preserve"> overall</w:t>
      </w:r>
      <w:r w:rsidR="00B1462C">
        <w:t xml:space="preserve"> durability</w:t>
      </w:r>
      <w:r>
        <w:t>. The primary Aria Gray tile polishes the new room while the dark and turquoise blue provide pops of color to complement</w:t>
      </w:r>
      <w:r w:rsidR="00550A1B">
        <w:t xml:space="preserve"> with</w:t>
      </w:r>
      <w:r>
        <w:t xml:space="preserve"> the existing space. </w:t>
      </w:r>
    </w:p>
    <w:p w14:paraId="37F569F3" w14:textId="09443174" w:rsidR="000A2E7A" w:rsidRPr="000A2E7A" w:rsidRDefault="00B22D0B" w:rsidP="000A2E7A">
      <w:pPr>
        <w:pStyle w:val="Title"/>
        <w:rPr>
          <w:color w:val="E7E6E6" w:themeColor="background2"/>
        </w:rPr>
      </w:pPr>
      <w:r>
        <w:lastRenderedPageBreak/>
        <w:t>Itemized Expenses</w:t>
      </w:r>
    </w:p>
    <w:p w14:paraId="1F0D5E7A" w14:textId="77777777" w:rsidR="00B22D0B" w:rsidRPr="00106D81" w:rsidRDefault="00B22D0B" w:rsidP="00B22D0B">
      <w:pPr>
        <w:pStyle w:val="TableCaption"/>
      </w:pPr>
      <w:r>
        <w:t>from Herman Miller Custom Catalog</w:t>
      </w:r>
    </w:p>
    <w:tbl>
      <w:tblPr>
        <w:tblStyle w:val="TableSimple"/>
        <w:tblpPr w:leftFromText="187" w:rightFromText="187" w:vertAnchor="text" w:horzAnchor="page" w:tblpX="1168" w:tblpY="112"/>
        <w:tblW w:w="4929" w:type="pct"/>
        <w:tblLook w:val="04A0" w:firstRow="1" w:lastRow="0" w:firstColumn="1" w:lastColumn="0" w:noHBand="0" w:noVBand="1"/>
      </w:tblPr>
      <w:tblGrid>
        <w:gridCol w:w="7109"/>
        <w:gridCol w:w="1444"/>
        <w:gridCol w:w="1378"/>
      </w:tblGrid>
      <w:tr w:rsidR="00B22D0B" w:rsidRPr="00C8730C" w14:paraId="531FFF05" w14:textId="77777777" w:rsidTr="00B22D0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  <w:shd w:val="clear" w:color="auto" w:fill="E7E6E6" w:themeFill="background2"/>
          </w:tcPr>
          <w:p w14:paraId="5EEE2B89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rPr>
                <w:color w:val="000000" w:themeColor="text1"/>
              </w:rPr>
            </w:pPr>
            <w:r>
              <w:rPr>
                <w:color w:val="000000" w:themeColor="text1"/>
              </w:rPr>
              <w:t>Item (include link and unit price)</w:t>
            </w:r>
          </w:p>
        </w:tc>
        <w:tc>
          <w:tcPr>
            <w:tcW w:w="1443" w:type="dxa"/>
            <w:shd w:val="clear" w:color="auto" w:fill="E7E6E6" w:themeFill="background2"/>
          </w:tcPr>
          <w:p w14:paraId="72090FF7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Quantity</w:t>
            </w:r>
          </w:p>
        </w:tc>
        <w:tc>
          <w:tcPr>
            <w:tcW w:w="1377" w:type="dxa"/>
            <w:shd w:val="clear" w:color="auto" w:fill="E7E6E6" w:themeFill="background2"/>
          </w:tcPr>
          <w:p w14:paraId="60B677D5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Cost</w:t>
            </w:r>
          </w:p>
        </w:tc>
      </w:tr>
      <w:tr w:rsidR="00B22D0B" w14:paraId="567D8E83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0D873817" w14:textId="18A768D2" w:rsidR="00B22D0B" w:rsidRPr="00DA7184" w:rsidRDefault="00740265" w:rsidP="00DC2156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11" w:anchor="q=drum%2Bpouf&amp;lang=en_US&amp;start=6" w:history="1">
              <w:r w:rsidR="00DC2156" w:rsidRPr="00DC2156">
                <w:rPr>
                  <w:rStyle w:val="Hyperlink"/>
                  <w:b w:val="0"/>
                  <w:bCs/>
                </w:rPr>
                <w:t>Softs</w:t>
              </w:r>
              <w:r w:rsidR="00DC2156" w:rsidRPr="00DC2156">
                <w:rPr>
                  <w:rStyle w:val="Hyperlink"/>
                  <w:b w:val="0"/>
                  <w:bCs/>
                </w:rPr>
                <w:t>quare</w:t>
              </w:r>
            </w:hyperlink>
            <w:r w:rsidR="00B22D0B" w:rsidRPr="00B22D0B">
              <w:rPr>
                <w:b w:val="0"/>
                <w:color w:val="0087CD" w:themeColor="text2"/>
              </w:rPr>
              <w:t xml:space="preserve"> </w:t>
            </w:r>
            <w:r w:rsidR="00EF2B77">
              <w:rPr>
                <w:b w:val="0"/>
                <w:color w:val="0087CD" w:themeColor="text2"/>
              </w:rPr>
              <w:t xml:space="preserve">- </w:t>
            </w:r>
            <w:r w:rsidR="00CB2CF8">
              <w:rPr>
                <w:b w:val="0"/>
              </w:rPr>
              <w:t>$2</w:t>
            </w:r>
            <w:r w:rsidR="00DC2156">
              <w:rPr>
                <w:b w:val="0"/>
              </w:rPr>
              <w:t>95</w:t>
            </w:r>
            <w:r w:rsidR="00801931">
              <w:rPr>
                <w:b w:val="0"/>
              </w:rPr>
              <w:t xml:space="preserve"> </w:t>
            </w:r>
          </w:p>
        </w:tc>
        <w:tc>
          <w:tcPr>
            <w:tcW w:w="1443" w:type="dxa"/>
          </w:tcPr>
          <w:p w14:paraId="177F7298" w14:textId="477793E8" w:rsidR="00B22D0B" w:rsidRPr="00DA7184" w:rsidRDefault="00DC2156" w:rsidP="00DC2156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377" w:type="dxa"/>
          </w:tcPr>
          <w:p w14:paraId="0F5BF974" w14:textId="1000503D" w:rsidR="00B22D0B" w:rsidRPr="00DA7184" w:rsidRDefault="00B22D0B" w:rsidP="00DC2156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</w:t>
            </w:r>
            <w:r w:rsidR="00CB2CF8">
              <w:t>885</w:t>
            </w:r>
          </w:p>
        </w:tc>
      </w:tr>
      <w:tr w:rsidR="00B22D0B" w14:paraId="0B03CAE2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29D11A59" w14:textId="3EEE8F53" w:rsidR="00B22D0B" w:rsidRPr="00DA7184" w:rsidRDefault="00CB2CF8" w:rsidP="00BA560C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12" w:history="1">
              <w:r w:rsidR="00EF2B77" w:rsidRPr="00CB2CF8">
                <w:rPr>
                  <w:rStyle w:val="Hyperlink"/>
                  <w:b w:val="0"/>
                  <w:bCs/>
                </w:rPr>
                <w:t xml:space="preserve">Intersect </w:t>
              </w:r>
              <w:r w:rsidR="0050521A" w:rsidRPr="00CB2CF8">
                <w:rPr>
                  <w:rStyle w:val="Hyperlink"/>
                  <w:b w:val="0"/>
                  <w:bCs/>
                </w:rPr>
                <w:t>Square Foldaway Table</w:t>
              </w:r>
            </w:hyperlink>
            <w:r w:rsidR="00BA560C">
              <w:rPr>
                <w:b w:val="0"/>
              </w:rPr>
              <w:t xml:space="preserve"> </w:t>
            </w:r>
            <w:r w:rsidR="00DC5E7E">
              <w:rPr>
                <w:b w:val="0"/>
              </w:rPr>
              <w:t xml:space="preserve">(36”) </w:t>
            </w:r>
            <w:r w:rsidR="00BA560C">
              <w:rPr>
                <w:b w:val="0"/>
              </w:rPr>
              <w:t>-</w:t>
            </w:r>
            <w:r w:rsidR="006803FB">
              <w:rPr>
                <w:b w:val="0"/>
              </w:rPr>
              <w:t xml:space="preserve"> </w:t>
            </w:r>
            <w:r>
              <w:rPr>
                <w:b w:val="0"/>
              </w:rPr>
              <w:t>$1,746</w:t>
            </w:r>
          </w:p>
        </w:tc>
        <w:tc>
          <w:tcPr>
            <w:tcW w:w="1443" w:type="dxa"/>
          </w:tcPr>
          <w:p w14:paraId="55EC8B3E" w14:textId="10DB6BC8" w:rsidR="00B22D0B" w:rsidRPr="00DA7184" w:rsidRDefault="006803FB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377" w:type="dxa"/>
          </w:tcPr>
          <w:p w14:paraId="6EA6AB3A" w14:textId="7AB82C9E" w:rsidR="00B22D0B" w:rsidRPr="00DA7184" w:rsidRDefault="006803FB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$5</w:t>
            </w:r>
            <w:r w:rsidR="00803E8E">
              <w:t>,</w:t>
            </w:r>
            <w:r>
              <w:t>238</w:t>
            </w:r>
          </w:p>
        </w:tc>
      </w:tr>
      <w:tr w:rsidR="00B22D0B" w14:paraId="090D3F7C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2B8AE87D" w14:textId="6FD4A0AD" w:rsidR="00B22D0B" w:rsidRPr="008E71AE" w:rsidRDefault="00740265" w:rsidP="00A229CE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13" w:anchor="q=keyn%2B&amp;lang=en_US&amp;start=1" w:history="1">
              <w:r w:rsidR="00BA560C" w:rsidRPr="00BA560C">
                <w:rPr>
                  <w:rStyle w:val="Hyperlink"/>
                  <w:b w:val="0"/>
                  <w:bCs/>
                </w:rPr>
                <w:t xml:space="preserve">Keyn </w:t>
              </w:r>
              <w:r w:rsidR="00A229CE" w:rsidRPr="00BA560C">
                <w:rPr>
                  <w:rStyle w:val="Hyperlink"/>
                  <w:b w:val="0"/>
                  <w:bCs/>
                </w:rPr>
                <w:t>Stack</w:t>
              </w:r>
              <w:r w:rsidR="00A229CE" w:rsidRPr="00BA560C">
                <w:rPr>
                  <w:rStyle w:val="Hyperlink"/>
                  <w:b w:val="0"/>
                  <w:bCs/>
                </w:rPr>
                <w:t>ing</w:t>
              </w:r>
              <w:r w:rsidR="00BA560C" w:rsidRPr="00BA560C">
                <w:rPr>
                  <w:rStyle w:val="Hyperlink"/>
                  <w:b w:val="0"/>
                  <w:bCs/>
                </w:rPr>
                <w:t xml:space="preserve"> Chair</w:t>
              </w:r>
            </w:hyperlink>
            <w:r w:rsidR="00CB2CF8">
              <w:rPr>
                <w:b w:val="0"/>
              </w:rPr>
              <w:t xml:space="preserve">(fixed arms, chrome, </w:t>
            </w:r>
            <w:r w:rsidR="00DC5E7E">
              <w:rPr>
                <w:b w:val="0"/>
              </w:rPr>
              <w:t>soft wheel caster)</w:t>
            </w:r>
            <w:r w:rsidR="00CB2CF8">
              <w:rPr>
                <w:b w:val="0"/>
              </w:rPr>
              <w:t>- $656</w:t>
            </w:r>
          </w:p>
        </w:tc>
        <w:tc>
          <w:tcPr>
            <w:tcW w:w="1443" w:type="dxa"/>
          </w:tcPr>
          <w:p w14:paraId="0B05D995" w14:textId="6ED13B61" w:rsidR="00B22D0B" w:rsidRPr="00DA7184" w:rsidRDefault="00A229CE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1377" w:type="dxa"/>
          </w:tcPr>
          <w:p w14:paraId="7A78D841" w14:textId="2B007CD1" w:rsidR="00B22D0B" w:rsidRPr="00DA7184" w:rsidRDefault="008E71AE" w:rsidP="00254AAE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</w:t>
            </w:r>
            <w:r w:rsidR="00DC5E7E">
              <w:t>7,872</w:t>
            </w:r>
          </w:p>
        </w:tc>
      </w:tr>
      <w:tr w:rsidR="00B22D0B" w14:paraId="6670DC00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5C4933EA" w14:textId="63E1645B" w:rsidR="00B22D0B" w:rsidRPr="00A229CE" w:rsidRDefault="00DC5E7E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14" w:history="1">
              <w:r w:rsidRPr="00DC5E7E">
                <w:rPr>
                  <w:rStyle w:val="Hyperlink"/>
                  <w:b w:val="0"/>
                  <w:bCs/>
                </w:rPr>
                <w:t xml:space="preserve">Eames </w:t>
              </w:r>
              <w:r w:rsidR="00F827D7" w:rsidRPr="00DC5E7E">
                <w:rPr>
                  <w:rStyle w:val="Hyperlink"/>
                  <w:b w:val="0"/>
                  <w:bCs/>
                </w:rPr>
                <w:t>Standing Height Tables</w:t>
              </w:r>
            </w:hyperlink>
            <w:r w:rsidR="00A229CE">
              <w:rPr>
                <w:b w:val="0"/>
              </w:rPr>
              <w:t xml:space="preserve"> </w:t>
            </w:r>
            <w:r w:rsidR="00BA560C">
              <w:rPr>
                <w:b w:val="0"/>
              </w:rPr>
              <w:t>-</w:t>
            </w:r>
            <w:r w:rsidR="00F827D7">
              <w:rPr>
                <w:b w:val="0"/>
              </w:rPr>
              <w:t xml:space="preserve"> $5</w:t>
            </w:r>
            <w:r w:rsidR="00EF2B77">
              <w:rPr>
                <w:b w:val="0"/>
              </w:rPr>
              <w:t>,</w:t>
            </w:r>
            <w:r w:rsidR="00F827D7">
              <w:rPr>
                <w:b w:val="0"/>
              </w:rPr>
              <w:t>086</w:t>
            </w:r>
          </w:p>
        </w:tc>
        <w:tc>
          <w:tcPr>
            <w:tcW w:w="1443" w:type="dxa"/>
          </w:tcPr>
          <w:p w14:paraId="7F5976DD" w14:textId="3BFB8D3F" w:rsidR="00B22D0B" w:rsidRPr="00DA7184" w:rsidRDefault="005E474F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  <w:tc>
          <w:tcPr>
            <w:tcW w:w="1377" w:type="dxa"/>
          </w:tcPr>
          <w:p w14:paraId="2631FAD7" w14:textId="4A050F8B" w:rsidR="00B22D0B" w:rsidRPr="00DA7184" w:rsidRDefault="00F827D7" w:rsidP="005E474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</w:t>
            </w:r>
            <w:r w:rsidR="005E474F">
              <w:t>10,172</w:t>
            </w:r>
          </w:p>
        </w:tc>
      </w:tr>
      <w:tr w:rsidR="00801931" w14:paraId="534D1F2D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50F32298" w14:textId="06AFF4E0" w:rsidR="00801931" w:rsidRPr="00BA560C" w:rsidRDefault="00740265" w:rsidP="00DC5E7E">
            <w:pPr>
              <w:pStyle w:val="TableText"/>
              <w:framePr w:hSpace="0" w:wrap="auto" w:vAnchor="margin" w:hAnchor="text" w:xAlign="left" w:yAlign="inline"/>
              <w:tabs>
                <w:tab w:val="left" w:pos="1290"/>
              </w:tabs>
              <w:spacing w:before="120" w:after="120"/>
              <w:rPr>
                <w:b w:val="0"/>
              </w:rPr>
            </w:pPr>
            <w:hyperlink r:id="rId15" w:history="1">
              <w:r w:rsidR="00801931" w:rsidRPr="00470817">
                <w:rPr>
                  <w:rStyle w:val="Hyperlink"/>
                  <w:b w:val="0"/>
                  <w:bCs/>
                </w:rPr>
                <w:t>Caper Multip</w:t>
              </w:r>
              <w:r w:rsidR="00801931" w:rsidRPr="00470817">
                <w:rPr>
                  <w:rStyle w:val="Hyperlink"/>
                  <w:b w:val="0"/>
                  <w:bCs/>
                </w:rPr>
                <w:t>urpose Chair</w:t>
              </w:r>
            </w:hyperlink>
            <w:r w:rsidR="00BA560C">
              <w:rPr>
                <w:rStyle w:val="Hyperlink"/>
              </w:rPr>
              <w:t xml:space="preserve"> </w:t>
            </w:r>
            <w:r w:rsidR="00DC5E7E">
              <w:rPr>
                <w:b w:val="0"/>
              </w:rPr>
              <w:t>(fixed arms) - $747</w:t>
            </w:r>
          </w:p>
        </w:tc>
        <w:tc>
          <w:tcPr>
            <w:tcW w:w="1443" w:type="dxa"/>
          </w:tcPr>
          <w:p w14:paraId="1A830C85" w14:textId="110D55E4" w:rsidR="00801931" w:rsidRDefault="00BA560C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1377" w:type="dxa"/>
          </w:tcPr>
          <w:p w14:paraId="308401FD" w14:textId="5FD3A345" w:rsidR="00801931" w:rsidRDefault="00DC5E7E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$747</w:t>
            </w:r>
          </w:p>
        </w:tc>
      </w:tr>
      <w:tr w:rsidR="00B22D0B" w14:paraId="16DB9828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12B4DA4C" w14:textId="6637D69D" w:rsidR="00B22D0B" w:rsidRPr="00F827D7" w:rsidRDefault="00740265" w:rsidP="00BA560C">
            <w:pPr>
              <w:pStyle w:val="TableText"/>
              <w:framePr w:hSpace="0" w:wrap="auto" w:vAnchor="margin" w:hAnchor="text" w:xAlign="left" w:yAlign="inline"/>
              <w:tabs>
                <w:tab w:val="left" w:pos="1290"/>
              </w:tabs>
              <w:spacing w:before="120" w:after="120"/>
              <w:rPr>
                <w:b w:val="0"/>
              </w:rPr>
            </w:pPr>
            <w:hyperlink r:id="rId16" w:history="1">
              <w:r w:rsidR="00F827D7" w:rsidRPr="00BA560C">
                <w:rPr>
                  <w:rStyle w:val="Hyperlink"/>
                  <w:b w:val="0"/>
                  <w:bCs/>
                </w:rPr>
                <w:t xml:space="preserve">Caper </w:t>
              </w:r>
              <w:r w:rsidR="00801931" w:rsidRPr="00BA560C">
                <w:rPr>
                  <w:rStyle w:val="Hyperlink"/>
                  <w:b w:val="0"/>
                  <w:bCs/>
                </w:rPr>
                <w:t>Multipu</w:t>
              </w:r>
              <w:r w:rsidR="00801931" w:rsidRPr="00BA560C">
                <w:rPr>
                  <w:rStyle w:val="Hyperlink"/>
                  <w:b w:val="0"/>
                  <w:bCs/>
                </w:rPr>
                <w:t>rpose</w:t>
              </w:r>
              <w:r w:rsidR="00F827D7" w:rsidRPr="00BA560C">
                <w:rPr>
                  <w:rStyle w:val="Hyperlink"/>
                  <w:b w:val="0"/>
                  <w:bCs/>
                </w:rPr>
                <w:t xml:space="preserve"> Stool</w:t>
              </w:r>
            </w:hyperlink>
            <w:r w:rsidR="00BA560C">
              <w:rPr>
                <w:b w:val="0"/>
              </w:rPr>
              <w:t xml:space="preserve"> </w:t>
            </w:r>
            <w:r w:rsidR="00DC5E7E">
              <w:rPr>
                <w:b w:val="0"/>
              </w:rPr>
              <w:t>(fixed arms, hard caster)</w:t>
            </w:r>
            <w:r w:rsidR="00BA560C">
              <w:rPr>
                <w:b w:val="0"/>
              </w:rPr>
              <w:t>-</w:t>
            </w:r>
            <w:r w:rsidR="00F827D7">
              <w:rPr>
                <w:b w:val="0"/>
              </w:rPr>
              <w:t xml:space="preserve"> </w:t>
            </w:r>
            <w:r w:rsidR="00DC5E7E">
              <w:rPr>
                <w:b w:val="0"/>
              </w:rPr>
              <w:t>$1,004</w:t>
            </w:r>
          </w:p>
        </w:tc>
        <w:tc>
          <w:tcPr>
            <w:tcW w:w="1443" w:type="dxa"/>
          </w:tcPr>
          <w:p w14:paraId="3F275779" w14:textId="23C74B54" w:rsidR="00B22D0B" w:rsidRPr="00DA7184" w:rsidRDefault="00801931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</w:p>
        </w:tc>
        <w:tc>
          <w:tcPr>
            <w:tcW w:w="1377" w:type="dxa"/>
          </w:tcPr>
          <w:p w14:paraId="635389D5" w14:textId="7D0B4FE9" w:rsidR="00B22D0B" w:rsidRPr="00DA7184" w:rsidRDefault="00DC5E7E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$4,016</w:t>
            </w:r>
          </w:p>
        </w:tc>
      </w:tr>
      <w:tr w:rsidR="00B22D0B" w14:paraId="1209348E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0168FFF7" w14:textId="17EC5F17" w:rsidR="00B22D0B" w:rsidRPr="005E474F" w:rsidRDefault="00F351C7" w:rsidP="00F351C7">
            <w:pPr>
              <w:pStyle w:val="TableText"/>
              <w:framePr w:hSpace="0" w:wrap="auto" w:vAnchor="margin" w:hAnchor="text" w:xAlign="left" w:yAlign="inline"/>
              <w:tabs>
                <w:tab w:val="left" w:pos="6120"/>
              </w:tabs>
              <w:spacing w:before="120" w:after="120"/>
              <w:rPr>
                <w:b w:val="0"/>
              </w:rPr>
            </w:pPr>
            <w:hyperlink r:id="rId17" w:history="1">
              <w:r w:rsidR="005E474F" w:rsidRPr="00F351C7">
                <w:rPr>
                  <w:rStyle w:val="Hyperlink"/>
                  <w:b w:val="0"/>
                  <w:bCs/>
                </w:rPr>
                <w:t>Credenza</w:t>
              </w:r>
            </w:hyperlink>
            <w:r>
              <w:rPr>
                <w:b w:val="0"/>
              </w:rPr>
              <w:t xml:space="preserve"> (open with box file)</w:t>
            </w:r>
            <w:r w:rsidR="005E474F">
              <w:rPr>
                <w:b w:val="0"/>
              </w:rPr>
              <w:t xml:space="preserve"> –</w:t>
            </w:r>
            <w:r>
              <w:rPr>
                <w:b w:val="0"/>
              </w:rPr>
              <w:t xml:space="preserve"> $1,530</w:t>
            </w:r>
            <w:r w:rsidR="005E474F">
              <w:rPr>
                <w:b w:val="0"/>
              </w:rPr>
              <w:tab/>
            </w:r>
          </w:p>
        </w:tc>
        <w:tc>
          <w:tcPr>
            <w:tcW w:w="1443" w:type="dxa"/>
          </w:tcPr>
          <w:p w14:paraId="34305A82" w14:textId="11735B1D" w:rsidR="00B22D0B" w:rsidRPr="00DA7184" w:rsidRDefault="00801931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1377" w:type="dxa"/>
          </w:tcPr>
          <w:p w14:paraId="3E0CF469" w14:textId="0DC2B5E3" w:rsidR="00B22D0B" w:rsidRPr="00DA7184" w:rsidRDefault="00F351C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$1,530</w:t>
            </w:r>
          </w:p>
        </w:tc>
      </w:tr>
      <w:tr w:rsidR="005E474F" w14:paraId="36904F40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3F6EBA84" w14:textId="1EFED073" w:rsidR="005E474F" w:rsidRDefault="00F351C7" w:rsidP="00F351C7">
            <w:pPr>
              <w:pStyle w:val="TableText"/>
              <w:framePr w:hSpace="0" w:wrap="auto" w:vAnchor="margin" w:hAnchor="text" w:xAlign="left" w:yAlign="inline"/>
              <w:tabs>
                <w:tab w:val="left" w:pos="6120"/>
              </w:tabs>
              <w:spacing w:before="120" w:after="120"/>
              <w:rPr>
                <w:b w:val="0"/>
              </w:rPr>
            </w:pPr>
            <w:hyperlink r:id="rId18" w:history="1">
              <w:r w:rsidRPr="00F351C7">
                <w:rPr>
                  <w:rStyle w:val="Hyperlink"/>
                  <w:b w:val="0"/>
                  <w:bCs/>
                </w:rPr>
                <w:t>Glass White Board</w:t>
              </w:r>
            </w:hyperlink>
            <w:r>
              <w:rPr>
                <w:b w:val="0"/>
              </w:rPr>
              <w:t xml:space="preserve"> </w:t>
            </w:r>
            <w:r w:rsidR="00EF2B77">
              <w:rPr>
                <w:b w:val="0"/>
              </w:rPr>
              <w:t>- $1,600</w:t>
            </w:r>
          </w:p>
        </w:tc>
        <w:tc>
          <w:tcPr>
            <w:tcW w:w="1443" w:type="dxa"/>
          </w:tcPr>
          <w:p w14:paraId="15F63CB6" w14:textId="26695304" w:rsidR="005E474F" w:rsidRDefault="005E474F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1377" w:type="dxa"/>
          </w:tcPr>
          <w:p w14:paraId="2283D508" w14:textId="3F341E13" w:rsidR="005E474F" w:rsidRDefault="00EF2B7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$1,600</w:t>
            </w:r>
          </w:p>
        </w:tc>
      </w:tr>
      <w:tr w:rsidR="00EF2B77" w14:paraId="284B774E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22A95004" w14:textId="67E05C2B" w:rsidR="00EF2B77" w:rsidRDefault="00EF2B77" w:rsidP="005E474F">
            <w:pPr>
              <w:pStyle w:val="TableText"/>
              <w:framePr w:hSpace="0" w:wrap="auto" w:vAnchor="margin" w:hAnchor="text" w:xAlign="left" w:yAlign="inline"/>
              <w:tabs>
                <w:tab w:val="left" w:pos="6120"/>
              </w:tabs>
              <w:spacing w:before="120" w:after="120"/>
              <w:rPr>
                <w:b w:val="0"/>
              </w:rPr>
            </w:pPr>
            <w:r>
              <w:rPr>
                <w:b w:val="0"/>
              </w:rPr>
              <w:t xml:space="preserve">Mobile Easel – CP82060BL </w:t>
            </w:r>
            <w:r w:rsidR="00F351C7">
              <w:rPr>
                <w:b w:val="0"/>
              </w:rPr>
              <w:t xml:space="preserve">(no link) </w:t>
            </w:r>
            <w:r>
              <w:rPr>
                <w:b w:val="0"/>
              </w:rPr>
              <w:t>- $3,819</w:t>
            </w:r>
          </w:p>
        </w:tc>
        <w:tc>
          <w:tcPr>
            <w:tcW w:w="1443" w:type="dxa"/>
          </w:tcPr>
          <w:p w14:paraId="546F7E1F" w14:textId="1525C414" w:rsidR="00EF2B77" w:rsidRDefault="00EF2B7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1377" w:type="dxa"/>
          </w:tcPr>
          <w:p w14:paraId="54464ED7" w14:textId="1732A938" w:rsidR="00EF2B77" w:rsidRPr="00EF2B77" w:rsidRDefault="00EF2B7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F2B77">
              <w:t>$3,819</w:t>
            </w:r>
          </w:p>
        </w:tc>
      </w:tr>
      <w:tr w:rsidR="00F50032" w14:paraId="59652E1C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0A86E18F" w14:textId="0E832650" w:rsidR="00801931" w:rsidRDefault="00F351C7" w:rsidP="00F351C7">
            <w:pPr>
              <w:pStyle w:val="TableText"/>
              <w:framePr w:hSpace="0" w:wrap="auto" w:vAnchor="margin" w:hAnchor="text" w:xAlign="left" w:yAlign="inline"/>
              <w:tabs>
                <w:tab w:val="left" w:pos="6120"/>
              </w:tabs>
              <w:spacing w:before="120" w:after="120"/>
              <w:rPr>
                <w:b w:val="0"/>
              </w:rPr>
            </w:pPr>
            <w:hyperlink r:id="rId19" w:history="1">
              <w:r w:rsidR="00F50032" w:rsidRPr="00F351C7">
                <w:rPr>
                  <w:rStyle w:val="Hyperlink"/>
                  <w:b w:val="0"/>
                  <w:bCs/>
                </w:rPr>
                <w:t>Envelop Desk</w:t>
              </w:r>
            </w:hyperlink>
            <w:r w:rsidR="00F50032">
              <w:rPr>
                <w:b w:val="0"/>
              </w:rPr>
              <w:t xml:space="preserve"> –</w:t>
            </w:r>
            <w:r w:rsidR="002C0DB7">
              <w:rPr>
                <w:b w:val="0"/>
              </w:rPr>
              <w:t xml:space="preserve"> $4,145</w:t>
            </w:r>
          </w:p>
        </w:tc>
        <w:tc>
          <w:tcPr>
            <w:tcW w:w="1443" w:type="dxa"/>
          </w:tcPr>
          <w:p w14:paraId="7387DDF9" w14:textId="261EF3AA" w:rsidR="00F50032" w:rsidRDefault="002C0DB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  <w:tc>
          <w:tcPr>
            <w:tcW w:w="1377" w:type="dxa"/>
          </w:tcPr>
          <w:p w14:paraId="3E5B8E0C" w14:textId="2DAFACE3" w:rsidR="00F50032" w:rsidRPr="00EF2B77" w:rsidRDefault="002C0DB7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$4,145</w:t>
            </w:r>
          </w:p>
        </w:tc>
      </w:tr>
      <w:tr w:rsidR="00B22D0B" w14:paraId="4ECA3348" w14:textId="77777777" w:rsidTr="00B22D0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7" w:type="dxa"/>
          </w:tcPr>
          <w:p w14:paraId="0631E3A3" w14:textId="77777777" w:rsidR="00B22D0B" w:rsidRPr="00B93266" w:rsidRDefault="00B22D0B" w:rsidP="00060C8F">
            <w:pPr>
              <w:pStyle w:val="TableText"/>
              <w:framePr w:hSpace="0" w:wrap="auto" w:vAnchor="margin" w:hAnchor="text" w:xAlign="left" w:yAlign="inline"/>
              <w:spacing w:before="120" w:after="120"/>
            </w:pPr>
            <w:r w:rsidRPr="00B93266">
              <w:t>Total</w:t>
            </w:r>
            <w:r>
              <w:t xml:space="preserve"> (Maximum $80,000)</w:t>
            </w:r>
          </w:p>
        </w:tc>
        <w:tc>
          <w:tcPr>
            <w:tcW w:w="1443" w:type="dxa"/>
          </w:tcPr>
          <w:p w14:paraId="42F69298" w14:textId="7F6136D2" w:rsidR="00B22D0B" w:rsidRPr="00B93266" w:rsidRDefault="00B22D0B" w:rsidP="00F827D7">
            <w:pPr>
              <w:pStyle w:val="TableText"/>
              <w:framePr w:hSpace="0" w:wrap="auto" w:vAnchor="margin" w:hAnchor="text" w:xAlign="left" w:yAlign="inline"/>
              <w:tabs>
                <w:tab w:val="left" w:pos="1080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377" w:type="dxa"/>
          </w:tcPr>
          <w:p w14:paraId="0862BBC5" w14:textId="0B8AC279" w:rsidR="00B22D0B" w:rsidRPr="00B93266" w:rsidRDefault="00055D98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$40,024</w:t>
            </w:r>
          </w:p>
        </w:tc>
      </w:tr>
    </w:tbl>
    <w:p w14:paraId="3E1E2C45" w14:textId="77777777" w:rsidR="00B22D0B" w:rsidRPr="00106D81" w:rsidRDefault="00B22D0B" w:rsidP="00B22D0B">
      <w:pPr>
        <w:pStyle w:val="TableCaption"/>
      </w:pPr>
      <w:r>
        <w:t>Additional elements</w:t>
      </w:r>
    </w:p>
    <w:tbl>
      <w:tblPr>
        <w:tblStyle w:val="TableSimple"/>
        <w:tblpPr w:leftFromText="187" w:rightFromText="187" w:vertAnchor="text" w:horzAnchor="page" w:tblpX="1168" w:tblpY="112"/>
        <w:tblW w:w="4929" w:type="pct"/>
        <w:tblLook w:val="04A0" w:firstRow="1" w:lastRow="0" w:firstColumn="1" w:lastColumn="0" w:noHBand="0" w:noVBand="1"/>
      </w:tblPr>
      <w:tblGrid>
        <w:gridCol w:w="7106"/>
        <w:gridCol w:w="1443"/>
        <w:gridCol w:w="1382"/>
      </w:tblGrid>
      <w:tr w:rsidR="00B22D0B" w:rsidRPr="00C8730C" w14:paraId="32504F28" w14:textId="77777777" w:rsidTr="008E71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6" w:type="dxa"/>
            <w:shd w:val="clear" w:color="auto" w:fill="E7E6E6" w:themeFill="background2"/>
          </w:tcPr>
          <w:p w14:paraId="2695281D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rPr>
                <w:color w:val="000000" w:themeColor="text1"/>
              </w:rPr>
            </w:pPr>
            <w:r>
              <w:rPr>
                <w:color w:val="000000" w:themeColor="text1"/>
              </w:rPr>
              <w:t>Item</w:t>
            </w:r>
          </w:p>
        </w:tc>
        <w:tc>
          <w:tcPr>
            <w:tcW w:w="1443" w:type="dxa"/>
            <w:shd w:val="clear" w:color="auto" w:fill="E7E6E6" w:themeFill="background2"/>
          </w:tcPr>
          <w:p w14:paraId="43309A3B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Quantity</w:t>
            </w:r>
          </w:p>
        </w:tc>
        <w:tc>
          <w:tcPr>
            <w:tcW w:w="1382" w:type="dxa"/>
            <w:shd w:val="clear" w:color="auto" w:fill="E7E6E6" w:themeFill="background2"/>
          </w:tcPr>
          <w:p w14:paraId="3A999E07" w14:textId="77777777" w:rsidR="00B22D0B" w:rsidRPr="00C8730C" w:rsidRDefault="00B22D0B" w:rsidP="00060C8F">
            <w:pPr>
              <w:pStyle w:val="TableHeading"/>
              <w:framePr w:hSpace="0" w:wrap="auto" w:vAnchor="margin" w:hAnchor="text" w:xAlign="left" w:yAlign="in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Cost</w:t>
            </w:r>
          </w:p>
        </w:tc>
      </w:tr>
      <w:tr w:rsidR="00B22D0B" w14:paraId="0C1272D8" w14:textId="77777777" w:rsidTr="008E71A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6" w:type="dxa"/>
          </w:tcPr>
          <w:p w14:paraId="6A279575" w14:textId="7733646D" w:rsidR="00B22D0B" w:rsidRPr="00803E8E" w:rsidRDefault="00F351C7" w:rsidP="003B5480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20" w:history="1">
              <w:r w:rsidR="003B5480" w:rsidRPr="00F351C7">
                <w:rPr>
                  <w:rStyle w:val="Hyperlink"/>
                  <w:b w:val="0"/>
                  <w:bCs/>
                </w:rPr>
                <w:t>Prospect Stools</w:t>
              </w:r>
            </w:hyperlink>
            <w:r w:rsidR="003B5480">
              <w:rPr>
                <w:b w:val="0"/>
              </w:rPr>
              <w:t xml:space="preserve"> </w:t>
            </w:r>
            <w:r w:rsidR="00682D9C">
              <w:rPr>
                <w:b w:val="0"/>
              </w:rPr>
              <w:t xml:space="preserve">(for half of room) </w:t>
            </w:r>
            <w:r w:rsidR="003B5480">
              <w:rPr>
                <w:b w:val="0"/>
              </w:rPr>
              <w:t xml:space="preserve">- </w:t>
            </w:r>
            <w:r w:rsidR="00803E8E">
              <w:rPr>
                <w:b w:val="0"/>
              </w:rPr>
              <w:t>$500</w:t>
            </w:r>
          </w:p>
        </w:tc>
        <w:tc>
          <w:tcPr>
            <w:tcW w:w="1443" w:type="dxa"/>
          </w:tcPr>
          <w:p w14:paraId="0B9D9ED8" w14:textId="374B1FAD" w:rsidR="00B22D0B" w:rsidRPr="00DA7184" w:rsidRDefault="00682D9C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382" w:type="dxa"/>
          </w:tcPr>
          <w:p w14:paraId="38E3892E" w14:textId="1E58CDC1" w:rsidR="00B22D0B" w:rsidRPr="00DA7184" w:rsidRDefault="00682D9C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$1</w:t>
            </w:r>
            <w:r w:rsidR="00803E8E">
              <w:t>,500</w:t>
            </w:r>
          </w:p>
        </w:tc>
      </w:tr>
      <w:tr w:rsidR="00B22D0B" w14:paraId="1863D487" w14:textId="77777777" w:rsidTr="008E71A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6" w:type="dxa"/>
          </w:tcPr>
          <w:p w14:paraId="3ACC86BC" w14:textId="266EA724" w:rsidR="00B22D0B" w:rsidRPr="007B5CA5" w:rsidRDefault="00740265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b w:val="0"/>
              </w:rPr>
            </w:pPr>
            <w:hyperlink r:id="rId21" w:history="1">
              <w:r w:rsidR="007B5CA5" w:rsidRPr="00F50032">
                <w:rPr>
                  <w:rStyle w:val="Hyperlink"/>
                  <w:rFonts w:cs="Arial"/>
                  <w:b w:val="0"/>
                  <w:bCs/>
                  <w:lang w:val="en"/>
                </w:rPr>
                <w:t xml:space="preserve">Living Wall Moss </w:t>
              </w:r>
              <w:r w:rsidR="007B5CA5" w:rsidRPr="00F50032">
                <w:rPr>
                  <w:rStyle w:val="Hyperlink"/>
                  <w:rFonts w:cs="Arial"/>
                  <w:b w:val="0"/>
                  <w:bCs/>
                  <w:lang w:val="en"/>
                </w:rPr>
                <w:t>Tile Green</w:t>
              </w:r>
            </w:hyperlink>
            <w:r w:rsidR="00F50032">
              <w:rPr>
                <w:rFonts w:cs="Arial"/>
                <w:b w:val="0"/>
                <w:lang w:val="en"/>
              </w:rPr>
              <w:t xml:space="preserve"> - $169 </w:t>
            </w:r>
          </w:p>
        </w:tc>
        <w:tc>
          <w:tcPr>
            <w:tcW w:w="1443" w:type="dxa"/>
          </w:tcPr>
          <w:p w14:paraId="5359B1F6" w14:textId="3240330F" w:rsidR="00B22D0B" w:rsidRPr="00DA7184" w:rsidRDefault="00682D9C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1382" w:type="dxa"/>
          </w:tcPr>
          <w:p w14:paraId="330D1823" w14:textId="2C9BCD4C" w:rsidR="00B22D0B" w:rsidRPr="00DA7184" w:rsidRDefault="00682D9C" w:rsidP="00F50032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$2,028</w:t>
            </w:r>
          </w:p>
        </w:tc>
      </w:tr>
      <w:tr w:rsidR="00F50032" w14:paraId="25673283" w14:textId="77777777" w:rsidTr="008E71A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6" w:type="dxa"/>
          </w:tcPr>
          <w:p w14:paraId="2605ECC1" w14:textId="48146483" w:rsidR="00F50032" w:rsidRPr="00682D9C" w:rsidRDefault="00682D9C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rPr>
                <w:rFonts w:cs="Arial"/>
                <w:b w:val="0"/>
                <w:lang w:val="en"/>
              </w:rPr>
            </w:pPr>
            <w:hyperlink r:id="rId22" w:history="1">
              <w:r w:rsidRPr="00682D9C">
                <w:rPr>
                  <w:rStyle w:val="Hyperlink"/>
                  <w:b w:val="0"/>
                  <w:bCs/>
                </w:rPr>
                <w:t>65” Flat Screen TV</w:t>
              </w:r>
            </w:hyperlink>
            <w:r w:rsidRPr="00682D9C">
              <w:rPr>
                <w:b w:val="0"/>
              </w:rPr>
              <w:t xml:space="preserve"> - $600</w:t>
            </w:r>
          </w:p>
        </w:tc>
        <w:tc>
          <w:tcPr>
            <w:tcW w:w="1443" w:type="dxa"/>
          </w:tcPr>
          <w:p w14:paraId="4C587643" w14:textId="46246799" w:rsidR="00F50032" w:rsidRDefault="00353708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  <w:tc>
          <w:tcPr>
            <w:tcW w:w="1382" w:type="dxa"/>
          </w:tcPr>
          <w:p w14:paraId="78BDD37C" w14:textId="438CC731" w:rsidR="00F50032" w:rsidRDefault="00682D9C" w:rsidP="00F50032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$1,200</w:t>
            </w:r>
          </w:p>
        </w:tc>
      </w:tr>
      <w:tr w:rsidR="00B22D0B" w14:paraId="3AC74B2F" w14:textId="77777777" w:rsidTr="008E71A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6" w:type="dxa"/>
          </w:tcPr>
          <w:p w14:paraId="48DD0267" w14:textId="77777777" w:rsidR="00B22D0B" w:rsidRPr="00B93266" w:rsidRDefault="00B22D0B" w:rsidP="00060C8F">
            <w:pPr>
              <w:pStyle w:val="TableText"/>
              <w:framePr w:hSpace="0" w:wrap="auto" w:vAnchor="margin" w:hAnchor="text" w:xAlign="left" w:yAlign="inline"/>
              <w:spacing w:before="120" w:after="120"/>
            </w:pPr>
            <w:r w:rsidRPr="00B93266">
              <w:t>Total</w:t>
            </w:r>
            <w:r>
              <w:t xml:space="preserve"> (Maximum $5,000)</w:t>
            </w:r>
          </w:p>
        </w:tc>
        <w:tc>
          <w:tcPr>
            <w:tcW w:w="1443" w:type="dxa"/>
          </w:tcPr>
          <w:p w14:paraId="61B20E92" w14:textId="1854CC39" w:rsidR="00B22D0B" w:rsidRPr="00B93266" w:rsidRDefault="00B22D0B" w:rsidP="00060C8F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1382" w:type="dxa"/>
          </w:tcPr>
          <w:p w14:paraId="06E5D920" w14:textId="45E707DA" w:rsidR="00B22D0B" w:rsidRPr="00B93266" w:rsidRDefault="00682D9C" w:rsidP="00F50032">
            <w:pPr>
              <w:pStyle w:val="TableText"/>
              <w:framePr w:hSpace="0" w:wrap="auto" w:vAnchor="margin" w:hAnchor="text" w:xAlign="left" w:yAlign="inline"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$4,</w:t>
            </w:r>
            <w:bookmarkStart w:id="0" w:name="_GoBack"/>
            <w:bookmarkEnd w:id="0"/>
            <w:r>
              <w:rPr>
                <w:b/>
              </w:rPr>
              <w:t>728</w:t>
            </w:r>
          </w:p>
        </w:tc>
      </w:tr>
    </w:tbl>
    <w:p w14:paraId="7E41CC05" w14:textId="2F3E6303" w:rsidR="00A6495A" w:rsidRDefault="00A6495A" w:rsidP="00B0155A">
      <w:pPr>
        <w:spacing w:before="0" w:after="0" w:line="240" w:lineRule="auto"/>
      </w:pPr>
    </w:p>
    <w:sectPr w:rsidR="00A6495A" w:rsidSect="003C2DC5">
      <w:headerReference w:type="default" r:id="rId23"/>
      <w:footerReference w:type="default" r:id="rId24"/>
      <w:pgSz w:w="12240" w:h="15840"/>
      <w:pgMar w:top="1440" w:right="1080" w:bottom="2304" w:left="1080" w:header="576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710BE95" w14:textId="77777777" w:rsidR="00740265" w:rsidRDefault="00740265" w:rsidP="009A0028">
      <w:r>
        <w:separator/>
      </w:r>
    </w:p>
  </w:endnote>
  <w:endnote w:type="continuationSeparator" w:id="0">
    <w:p w14:paraId="3DE6B6AA" w14:textId="77777777" w:rsidR="00740265" w:rsidRDefault="00740265" w:rsidP="009A00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decorative"/>
    <w:pitch w:val="variable"/>
    <w:sig w:usb0="00000000" w:usb1="10000000" w:usb2="00000000" w:usb3="00000000" w:csb0="80000000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 (Body)">
    <w:altName w:val="Arial"/>
    <w:charset w:val="00"/>
    <w:family w:val="roman"/>
    <w:pitch w:val="default"/>
  </w:font>
  <w:font w:name="Times">
    <w:panose1 w:val="02020603050405020304"/>
    <w:charset w:val="00"/>
    <w:family w:val="auto"/>
    <w:pitch w:val="variable"/>
    <w:sig w:usb0="00000003" w:usb1="00000000" w:usb2="00000000" w:usb3="00000000" w:csb0="000000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61A704" w14:textId="68E0A4FE" w:rsidR="00CD1F38" w:rsidRDefault="00CD1F38" w:rsidP="00995E00">
    <w:pPr>
      <w:pStyle w:val="Footer"/>
      <w:jc w:val="center"/>
    </w:pPr>
    <w:r w:rsidRPr="005D5EF6">
      <w:rPr>
        <w:noProof/>
      </w:rPr>
      <w:drawing>
        <wp:inline distT="0" distB="0" distL="0" distR="0" wp14:anchorId="64101D18" wp14:editId="1EB18BCC">
          <wp:extent cx="1282700" cy="634957"/>
          <wp:effectExtent l="0" t="0" r="0" b="635"/>
          <wp:docPr id="1" name="Picture 1" descr="Big 10 Academic Allia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13435" cy="65017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  <w:r>
      <w:rPr>
        <w:noProof/>
      </w:rPr>
      <w:drawing>
        <wp:inline distT="0" distB="0" distL="0" distR="0" wp14:anchorId="72439F01" wp14:editId="0D26A5C1">
          <wp:extent cx="2253213" cy="442595"/>
          <wp:effectExtent l="0" t="0" r="0" b="1905"/>
          <wp:docPr id="2" name="Picture 2" descr="Herman Mill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HermanMillerLogo_Small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302015" cy="45218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B27525" w14:textId="77777777" w:rsidR="00740265" w:rsidRDefault="00740265" w:rsidP="009A0028">
      <w:r>
        <w:separator/>
      </w:r>
    </w:p>
  </w:footnote>
  <w:footnote w:type="continuationSeparator" w:id="0">
    <w:p w14:paraId="238A6FA3" w14:textId="77777777" w:rsidR="00740265" w:rsidRDefault="00740265" w:rsidP="009A00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27258005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9428841" w14:textId="200F29F9" w:rsidR="00CD1F38" w:rsidRDefault="00CD1F38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858CD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48720226" w14:textId="77777777" w:rsidR="00CD1F38" w:rsidRDefault="00CD1F38" w:rsidP="009A002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9E103C8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CA42E97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F35EF07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D6E6B0B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865E2F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1640E78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5D144D7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75C133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858F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B28ADE7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C9835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F61DD4"/>
    <w:multiLevelType w:val="multilevel"/>
    <w:tmpl w:val="2BA6FE62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color w:val="BB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3F4CBC"/>
    <w:multiLevelType w:val="multilevel"/>
    <w:tmpl w:val="0818E16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 w:val="0"/>
        <w:i w:val="0"/>
        <w:iCs w:val="0"/>
        <w:color w:val="0087CD" w:themeColor="text2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FA14A48"/>
    <w:multiLevelType w:val="multilevel"/>
    <w:tmpl w:val="FFCAB68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color w:val="0087CD" w:themeColor="text2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1396492"/>
    <w:multiLevelType w:val="hybridMultilevel"/>
    <w:tmpl w:val="0534DA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6821FBA"/>
    <w:multiLevelType w:val="hybridMultilevel"/>
    <w:tmpl w:val="F81850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7206C63"/>
    <w:multiLevelType w:val="hybridMultilevel"/>
    <w:tmpl w:val="79A66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921F77"/>
    <w:multiLevelType w:val="multilevel"/>
    <w:tmpl w:val="D6BEBCAA"/>
    <w:lvl w:ilvl="0">
      <w:start w:val="1"/>
      <w:numFmt w:val="bullet"/>
      <w:lvlText w:val=""/>
      <w:lvlJc w:val="left"/>
      <w:pPr>
        <w:ind w:left="720" w:hanging="360"/>
      </w:pPr>
      <w:rPr>
        <w:rFonts w:ascii="Wingdings 3" w:hAnsi="Wingdings 3" w:hint="default"/>
        <w:color w:val="B8081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796B57"/>
    <w:multiLevelType w:val="hybridMultilevel"/>
    <w:tmpl w:val="6CC0667E"/>
    <w:lvl w:ilvl="0" w:tplc="F77E6086">
      <w:numFmt w:val="bullet"/>
      <w:lvlText w:val=""/>
      <w:lvlJc w:val="left"/>
      <w:pPr>
        <w:ind w:left="720" w:hanging="360"/>
      </w:pPr>
      <w:rPr>
        <w:rFonts w:ascii="Symbol" w:eastAsiaTheme="minorEastAsia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AD39D4"/>
    <w:multiLevelType w:val="hybridMultilevel"/>
    <w:tmpl w:val="941219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949E0BA0">
      <w:start w:val="1"/>
      <w:numFmt w:val="bullet"/>
      <w:lvlText w:val="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956579"/>
    <w:multiLevelType w:val="multilevel"/>
    <w:tmpl w:val="FFCAB68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color w:val="0087CD" w:themeColor="text2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6AC2846"/>
    <w:multiLevelType w:val="hybridMultilevel"/>
    <w:tmpl w:val="6304F20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DDA2230"/>
    <w:multiLevelType w:val="multilevel"/>
    <w:tmpl w:val="C6B0C4A0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bCs/>
        <w:i w:val="0"/>
        <w:iCs w:val="0"/>
        <w:color w:val="BB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930729"/>
    <w:multiLevelType w:val="multilevel"/>
    <w:tmpl w:val="A31ACED0"/>
    <w:lvl w:ilvl="0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  <w:b/>
        <w:bCs w:val="0"/>
        <w:i w:val="0"/>
        <w:iCs w:val="0"/>
        <w:color w:val="0087CD" w:themeColor="text2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A12B90"/>
    <w:multiLevelType w:val="hybridMultilevel"/>
    <w:tmpl w:val="B8AE58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5A16F91"/>
    <w:multiLevelType w:val="hybridMultilevel"/>
    <w:tmpl w:val="A32418A4"/>
    <w:lvl w:ilvl="0" w:tplc="92122B96">
      <w:start w:val="1"/>
      <w:numFmt w:val="decimal"/>
      <w:pStyle w:val="ListParagraph"/>
      <w:lvlText w:val="%1."/>
      <w:lvlJc w:val="left"/>
      <w:pPr>
        <w:ind w:left="720" w:hanging="360"/>
      </w:pPr>
      <w:rPr>
        <w:rFonts w:ascii="Arial Black" w:hAnsi="Arial Black" w:hint="default"/>
        <w:b w:val="0"/>
        <w:bCs/>
        <w:i w:val="0"/>
        <w:iCs w:val="0"/>
        <w:color w:val="0087CD" w:themeColor="text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A9110D"/>
    <w:multiLevelType w:val="hybridMultilevel"/>
    <w:tmpl w:val="879250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487F723D"/>
    <w:multiLevelType w:val="multilevel"/>
    <w:tmpl w:val="270673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BB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8E439C"/>
    <w:multiLevelType w:val="hybridMultilevel"/>
    <w:tmpl w:val="94C82646"/>
    <w:lvl w:ilvl="0" w:tplc="99D29806">
      <w:start w:val="1"/>
      <w:numFmt w:val="bullet"/>
      <w:lvlText w:val=""/>
      <w:lvlJc w:val="left"/>
      <w:pPr>
        <w:ind w:left="720" w:hanging="360"/>
      </w:pPr>
      <w:rPr>
        <w:rFonts w:ascii="Wingdings 3" w:hAnsi="Wingdings 3" w:hint="default"/>
        <w:b w:val="0"/>
        <w:bCs w:val="0"/>
        <w:i w:val="0"/>
        <w:iCs w:val="0"/>
        <w:color w:val="B80811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7665E2"/>
    <w:multiLevelType w:val="hybridMultilevel"/>
    <w:tmpl w:val="D6BEBCAA"/>
    <w:lvl w:ilvl="0" w:tplc="40EAA2B4">
      <w:start w:val="1"/>
      <w:numFmt w:val="bullet"/>
      <w:lvlText w:val=""/>
      <w:lvlJc w:val="left"/>
      <w:pPr>
        <w:ind w:left="720" w:hanging="360"/>
      </w:pPr>
      <w:rPr>
        <w:rFonts w:ascii="Wingdings 3" w:hAnsi="Wingdings 3" w:hint="default"/>
        <w:color w:val="B8081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87B3DFA"/>
    <w:multiLevelType w:val="hybridMultilevel"/>
    <w:tmpl w:val="E44A905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E613E31"/>
    <w:multiLevelType w:val="multilevel"/>
    <w:tmpl w:val="94C82646"/>
    <w:styleLink w:val="BulletedList"/>
    <w:lvl w:ilvl="0">
      <w:start w:val="1"/>
      <w:numFmt w:val="bullet"/>
      <w:lvlText w:val=""/>
      <w:lvlJc w:val="left"/>
      <w:pPr>
        <w:ind w:left="720" w:hanging="360"/>
      </w:pPr>
      <w:rPr>
        <w:rFonts w:ascii="Wingdings 3" w:hAnsi="Wingdings 3" w:hint="default"/>
        <w:b w:val="0"/>
        <w:bCs w:val="0"/>
        <w:i w:val="0"/>
        <w:iCs w:val="0"/>
        <w:color w:val="B80811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A94398"/>
    <w:multiLevelType w:val="hybridMultilevel"/>
    <w:tmpl w:val="795052FA"/>
    <w:lvl w:ilvl="0" w:tplc="D100A9E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bCs/>
        <w:i w:val="0"/>
        <w:iCs w:val="0"/>
        <w:color w:val="BB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74B509B"/>
    <w:multiLevelType w:val="multilevel"/>
    <w:tmpl w:val="3ED6F672"/>
    <w:lvl w:ilvl="0">
      <w:start w:val="1"/>
      <w:numFmt w:val="bullet"/>
      <w:lvlText w:val=""/>
      <w:lvlJc w:val="left"/>
      <w:pPr>
        <w:ind w:left="720" w:hanging="360"/>
      </w:pPr>
      <w:rPr>
        <w:rFonts w:ascii="Wingdings 3" w:hAnsi="Wingdings 3" w:hint="default"/>
        <w:b w:val="0"/>
        <w:bCs w:val="0"/>
        <w:i w:val="0"/>
        <w:iCs w:val="0"/>
        <w:color w:val="B80811"/>
        <w:sz w:val="18"/>
        <w:szCs w:val="1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D84147B"/>
    <w:multiLevelType w:val="multilevel"/>
    <w:tmpl w:val="A76081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 w:val="0"/>
        <w:iCs w:val="0"/>
        <w:color w:val="BB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2"/>
    <w:lvlOverride w:ilvl="0">
      <w:startOverride w:val="1"/>
    </w:lvlOverride>
  </w:num>
  <w:num w:numId="3">
    <w:abstractNumId w:val="32"/>
    <w:lvlOverride w:ilvl="0">
      <w:startOverride w:val="1"/>
    </w:lvlOverride>
  </w:num>
  <w:num w:numId="4">
    <w:abstractNumId w:val="32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9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8"/>
  </w:num>
  <w:num w:numId="17">
    <w:abstractNumId w:val="27"/>
  </w:num>
  <w:num w:numId="18">
    <w:abstractNumId w:val="11"/>
  </w:num>
  <w:num w:numId="19">
    <w:abstractNumId w:val="32"/>
    <w:lvlOverride w:ilvl="0">
      <w:startOverride w:val="1"/>
    </w:lvlOverride>
  </w:num>
  <w:num w:numId="20">
    <w:abstractNumId w:val="22"/>
  </w:num>
  <w:num w:numId="21">
    <w:abstractNumId w:val="29"/>
  </w:num>
  <w:num w:numId="22">
    <w:abstractNumId w:val="17"/>
  </w:num>
  <w:num w:numId="23">
    <w:abstractNumId w:val="28"/>
  </w:num>
  <w:num w:numId="24">
    <w:abstractNumId w:val="31"/>
  </w:num>
  <w:num w:numId="25">
    <w:abstractNumId w:val="13"/>
  </w:num>
  <w:num w:numId="26">
    <w:abstractNumId w:val="13"/>
  </w:num>
  <w:num w:numId="27">
    <w:abstractNumId w:val="32"/>
  </w:num>
  <w:num w:numId="28">
    <w:abstractNumId w:val="33"/>
  </w:num>
  <w:num w:numId="29">
    <w:abstractNumId w:val="13"/>
  </w:num>
  <w:num w:numId="30">
    <w:abstractNumId w:val="32"/>
  </w:num>
  <w:num w:numId="31">
    <w:abstractNumId w:val="15"/>
  </w:num>
  <w:num w:numId="32">
    <w:abstractNumId w:val="26"/>
  </w:num>
  <w:num w:numId="33">
    <w:abstractNumId w:val="30"/>
  </w:num>
  <w:num w:numId="34">
    <w:abstractNumId w:val="25"/>
  </w:num>
  <w:num w:numId="35">
    <w:abstractNumId w:val="34"/>
  </w:num>
  <w:num w:numId="36">
    <w:abstractNumId w:val="24"/>
  </w:num>
  <w:num w:numId="37">
    <w:abstractNumId w:val="20"/>
  </w:num>
  <w:num w:numId="38">
    <w:abstractNumId w:val="12"/>
  </w:num>
  <w:num w:numId="39">
    <w:abstractNumId w:val="23"/>
  </w:num>
  <w:num w:numId="40">
    <w:abstractNumId w:val="14"/>
  </w:num>
  <w:num w:numId="41">
    <w:abstractNumId w:val="19"/>
  </w:num>
  <w:num w:numId="4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0584"/>
    <w:rsid w:val="000168A0"/>
    <w:rsid w:val="000206F6"/>
    <w:rsid w:val="00020CA1"/>
    <w:rsid w:val="00032891"/>
    <w:rsid w:val="000332B6"/>
    <w:rsid w:val="00036031"/>
    <w:rsid w:val="00036BD0"/>
    <w:rsid w:val="000401B5"/>
    <w:rsid w:val="00054193"/>
    <w:rsid w:val="00055D98"/>
    <w:rsid w:val="00060C8F"/>
    <w:rsid w:val="00067250"/>
    <w:rsid w:val="000723F0"/>
    <w:rsid w:val="00080584"/>
    <w:rsid w:val="00084E6D"/>
    <w:rsid w:val="000A2E7A"/>
    <w:rsid w:val="000A5E20"/>
    <w:rsid w:val="000A5E43"/>
    <w:rsid w:val="000C47A9"/>
    <w:rsid w:val="000D156A"/>
    <w:rsid w:val="000D39E4"/>
    <w:rsid w:val="000E73F8"/>
    <w:rsid w:val="000F7D3B"/>
    <w:rsid w:val="0010104E"/>
    <w:rsid w:val="00103D9C"/>
    <w:rsid w:val="00106D81"/>
    <w:rsid w:val="00126032"/>
    <w:rsid w:val="001361C9"/>
    <w:rsid w:val="00153DD0"/>
    <w:rsid w:val="00160396"/>
    <w:rsid w:val="00160F88"/>
    <w:rsid w:val="00161543"/>
    <w:rsid w:val="0016470E"/>
    <w:rsid w:val="00183ADF"/>
    <w:rsid w:val="001B7A94"/>
    <w:rsid w:val="001C02D1"/>
    <w:rsid w:val="001C05DE"/>
    <w:rsid w:val="001C3162"/>
    <w:rsid w:val="001C6E68"/>
    <w:rsid w:val="001F1FA5"/>
    <w:rsid w:val="001F5090"/>
    <w:rsid w:val="002038EF"/>
    <w:rsid w:val="00214D3A"/>
    <w:rsid w:val="002166DD"/>
    <w:rsid w:val="00250B01"/>
    <w:rsid w:val="00254AAE"/>
    <w:rsid w:val="00265DD0"/>
    <w:rsid w:val="00266612"/>
    <w:rsid w:val="002747F6"/>
    <w:rsid w:val="002A7E53"/>
    <w:rsid w:val="002B0C23"/>
    <w:rsid w:val="002C0DB7"/>
    <w:rsid w:val="002C41FC"/>
    <w:rsid w:val="002C7A9D"/>
    <w:rsid w:val="002F0242"/>
    <w:rsid w:val="002F0D82"/>
    <w:rsid w:val="00310E46"/>
    <w:rsid w:val="0033277B"/>
    <w:rsid w:val="00341803"/>
    <w:rsid w:val="0035113B"/>
    <w:rsid w:val="00353708"/>
    <w:rsid w:val="0035576F"/>
    <w:rsid w:val="003570DC"/>
    <w:rsid w:val="003652CD"/>
    <w:rsid w:val="00366E55"/>
    <w:rsid w:val="00375EEF"/>
    <w:rsid w:val="003871F5"/>
    <w:rsid w:val="003910C5"/>
    <w:rsid w:val="003A7F57"/>
    <w:rsid w:val="003B52E2"/>
    <w:rsid w:val="003B5480"/>
    <w:rsid w:val="003C2DC5"/>
    <w:rsid w:val="003C4C98"/>
    <w:rsid w:val="003C6956"/>
    <w:rsid w:val="003D140C"/>
    <w:rsid w:val="003E5141"/>
    <w:rsid w:val="003F0EF3"/>
    <w:rsid w:val="003F18BF"/>
    <w:rsid w:val="00413AEC"/>
    <w:rsid w:val="00414CBF"/>
    <w:rsid w:val="00415FF6"/>
    <w:rsid w:val="00422038"/>
    <w:rsid w:val="00426BE2"/>
    <w:rsid w:val="00432258"/>
    <w:rsid w:val="00450145"/>
    <w:rsid w:val="00460624"/>
    <w:rsid w:val="004650FA"/>
    <w:rsid w:val="004668CF"/>
    <w:rsid w:val="00470817"/>
    <w:rsid w:val="00475377"/>
    <w:rsid w:val="00492C45"/>
    <w:rsid w:val="00494CFE"/>
    <w:rsid w:val="004B383F"/>
    <w:rsid w:val="004C48F8"/>
    <w:rsid w:val="004D09C4"/>
    <w:rsid w:val="004D151A"/>
    <w:rsid w:val="004E231C"/>
    <w:rsid w:val="004E3FA9"/>
    <w:rsid w:val="004E519B"/>
    <w:rsid w:val="004F2F31"/>
    <w:rsid w:val="0050075C"/>
    <w:rsid w:val="005013CF"/>
    <w:rsid w:val="0050521A"/>
    <w:rsid w:val="005127FA"/>
    <w:rsid w:val="00515C78"/>
    <w:rsid w:val="00517258"/>
    <w:rsid w:val="00527FF5"/>
    <w:rsid w:val="00532721"/>
    <w:rsid w:val="00550A1B"/>
    <w:rsid w:val="005540FB"/>
    <w:rsid w:val="005637A9"/>
    <w:rsid w:val="005640A2"/>
    <w:rsid w:val="00566760"/>
    <w:rsid w:val="00576F8D"/>
    <w:rsid w:val="00580AAA"/>
    <w:rsid w:val="00580F75"/>
    <w:rsid w:val="00581E62"/>
    <w:rsid w:val="0059398F"/>
    <w:rsid w:val="005A304E"/>
    <w:rsid w:val="005C731B"/>
    <w:rsid w:val="005C7F4A"/>
    <w:rsid w:val="005D3E0A"/>
    <w:rsid w:val="005D5DAD"/>
    <w:rsid w:val="005D5EF6"/>
    <w:rsid w:val="005E3893"/>
    <w:rsid w:val="005E474F"/>
    <w:rsid w:val="005F56FB"/>
    <w:rsid w:val="00610674"/>
    <w:rsid w:val="0061277A"/>
    <w:rsid w:val="00625AC5"/>
    <w:rsid w:val="00652F0A"/>
    <w:rsid w:val="0066235F"/>
    <w:rsid w:val="00670EE4"/>
    <w:rsid w:val="00676977"/>
    <w:rsid w:val="006803FB"/>
    <w:rsid w:val="00682364"/>
    <w:rsid w:val="006823E6"/>
    <w:rsid w:val="00682D9C"/>
    <w:rsid w:val="00683647"/>
    <w:rsid w:val="00685653"/>
    <w:rsid w:val="006A2A75"/>
    <w:rsid w:val="006B5FE6"/>
    <w:rsid w:val="006B67DA"/>
    <w:rsid w:val="006D24FF"/>
    <w:rsid w:val="006F11ED"/>
    <w:rsid w:val="006F23C0"/>
    <w:rsid w:val="006F2C98"/>
    <w:rsid w:val="00701ED6"/>
    <w:rsid w:val="00710C38"/>
    <w:rsid w:val="00723A34"/>
    <w:rsid w:val="00724EA1"/>
    <w:rsid w:val="00727E20"/>
    <w:rsid w:val="00740265"/>
    <w:rsid w:val="0074120A"/>
    <w:rsid w:val="00741B8C"/>
    <w:rsid w:val="00743276"/>
    <w:rsid w:val="00743BD0"/>
    <w:rsid w:val="007548A1"/>
    <w:rsid w:val="007551CA"/>
    <w:rsid w:val="00782989"/>
    <w:rsid w:val="00791841"/>
    <w:rsid w:val="007A34B5"/>
    <w:rsid w:val="007B00B5"/>
    <w:rsid w:val="007B1001"/>
    <w:rsid w:val="007B1663"/>
    <w:rsid w:val="007B2B78"/>
    <w:rsid w:val="007B2EC3"/>
    <w:rsid w:val="007B5CA5"/>
    <w:rsid w:val="007C28F8"/>
    <w:rsid w:val="007C68D2"/>
    <w:rsid w:val="007C779E"/>
    <w:rsid w:val="007D0718"/>
    <w:rsid w:val="007D239B"/>
    <w:rsid w:val="007F0E8A"/>
    <w:rsid w:val="007F3411"/>
    <w:rsid w:val="007F4456"/>
    <w:rsid w:val="00801931"/>
    <w:rsid w:val="008024CD"/>
    <w:rsid w:val="00803E8E"/>
    <w:rsid w:val="008063AD"/>
    <w:rsid w:val="008113BF"/>
    <w:rsid w:val="0085638A"/>
    <w:rsid w:val="00877703"/>
    <w:rsid w:val="00877FE7"/>
    <w:rsid w:val="008812C4"/>
    <w:rsid w:val="00882544"/>
    <w:rsid w:val="0088480D"/>
    <w:rsid w:val="008858CD"/>
    <w:rsid w:val="008A5585"/>
    <w:rsid w:val="008B1CD7"/>
    <w:rsid w:val="008E71AE"/>
    <w:rsid w:val="008F71DB"/>
    <w:rsid w:val="0090065C"/>
    <w:rsid w:val="00921B2B"/>
    <w:rsid w:val="00922EE3"/>
    <w:rsid w:val="00924AE0"/>
    <w:rsid w:val="00942DE4"/>
    <w:rsid w:val="00957548"/>
    <w:rsid w:val="00990646"/>
    <w:rsid w:val="00995E00"/>
    <w:rsid w:val="009A0028"/>
    <w:rsid w:val="009C3633"/>
    <w:rsid w:val="009D2ED0"/>
    <w:rsid w:val="009D7070"/>
    <w:rsid w:val="009E298B"/>
    <w:rsid w:val="009E3633"/>
    <w:rsid w:val="009F6CC9"/>
    <w:rsid w:val="00A00D0F"/>
    <w:rsid w:val="00A150B3"/>
    <w:rsid w:val="00A229CE"/>
    <w:rsid w:val="00A2373E"/>
    <w:rsid w:val="00A413F6"/>
    <w:rsid w:val="00A440B4"/>
    <w:rsid w:val="00A46F48"/>
    <w:rsid w:val="00A47D20"/>
    <w:rsid w:val="00A62DE2"/>
    <w:rsid w:val="00A6495A"/>
    <w:rsid w:val="00A83422"/>
    <w:rsid w:val="00AC4981"/>
    <w:rsid w:val="00AD1F70"/>
    <w:rsid w:val="00AE4C0E"/>
    <w:rsid w:val="00AE7635"/>
    <w:rsid w:val="00B0155A"/>
    <w:rsid w:val="00B01F14"/>
    <w:rsid w:val="00B04768"/>
    <w:rsid w:val="00B12679"/>
    <w:rsid w:val="00B1462C"/>
    <w:rsid w:val="00B22D0B"/>
    <w:rsid w:val="00B2700B"/>
    <w:rsid w:val="00B27B3B"/>
    <w:rsid w:val="00B336A7"/>
    <w:rsid w:val="00B35FCA"/>
    <w:rsid w:val="00B405EE"/>
    <w:rsid w:val="00B45886"/>
    <w:rsid w:val="00B554F5"/>
    <w:rsid w:val="00B56683"/>
    <w:rsid w:val="00B63DCD"/>
    <w:rsid w:val="00B65A9E"/>
    <w:rsid w:val="00BA2546"/>
    <w:rsid w:val="00BA47D5"/>
    <w:rsid w:val="00BA560C"/>
    <w:rsid w:val="00BB269F"/>
    <w:rsid w:val="00BB43E4"/>
    <w:rsid w:val="00BB6342"/>
    <w:rsid w:val="00BD0F54"/>
    <w:rsid w:val="00BE75AF"/>
    <w:rsid w:val="00BF48E0"/>
    <w:rsid w:val="00BF5009"/>
    <w:rsid w:val="00C10FF9"/>
    <w:rsid w:val="00C1216F"/>
    <w:rsid w:val="00C139F8"/>
    <w:rsid w:val="00C30107"/>
    <w:rsid w:val="00C33B15"/>
    <w:rsid w:val="00C348DB"/>
    <w:rsid w:val="00C41493"/>
    <w:rsid w:val="00C43F11"/>
    <w:rsid w:val="00C46EC1"/>
    <w:rsid w:val="00C643B5"/>
    <w:rsid w:val="00C8404A"/>
    <w:rsid w:val="00C8730C"/>
    <w:rsid w:val="00C94689"/>
    <w:rsid w:val="00C96586"/>
    <w:rsid w:val="00CA7CC1"/>
    <w:rsid w:val="00CB2CF8"/>
    <w:rsid w:val="00CB33FE"/>
    <w:rsid w:val="00CD1D3F"/>
    <w:rsid w:val="00CD1F38"/>
    <w:rsid w:val="00CD44B7"/>
    <w:rsid w:val="00CE598E"/>
    <w:rsid w:val="00CF5268"/>
    <w:rsid w:val="00CF52F5"/>
    <w:rsid w:val="00CF7848"/>
    <w:rsid w:val="00D00019"/>
    <w:rsid w:val="00D07A73"/>
    <w:rsid w:val="00D11550"/>
    <w:rsid w:val="00D15A64"/>
    <w:rsid w:val="00D1744B"/>
    <w:rsid w:val="00D25AF2"/>
    <w:rsid w:val="00D320C3"/>
    <w:rsid w:val="00D324C2"/>
    <w:rsid w:val="00D402DB"/>
    <w:rsid w:val="00D45A97"/>
    <w:rsid w:val="00D57CA7"/>
    <w:rsid w:val="00D67774"/>
    <w:rsid w:val="00D73E0F"/>
    <w:rsid w:val="00D7564B"/>
    <w:rsid w:val="00D8709B"/>
    <w:rsid w:val="00D92B49"/>
    <w:rsid w:val="00D964F2"/>
    <w:rsid w:val="00DA17CC"/>
    <w:rsid w:val="00DB013F"/>
    <w:rsid w:val="00DB111A"/>
    <w:rsid w:val="00DC04B8"/>
    <w:rsid w:val="00DC2156"/>
    <w:rsid w:val="00DC5E32"/>
    <w:rsid w:val="00DC5E7E"/>
    <w:rsid w:val="00DE0EDB"/>
    <w:rsid w:val="00DE3F04"/>
    <w:rsid w:val="00DF2062"/>
    <w:rsid w:val="00E00065"/>
    <w:rsid w:val="00E1150C"/>
    <w:rsid w:val="00E12DB4"/>
    <w:rsid w:val="00E267FD"/>
    <w:rsid w:val="00E3136F"/>
    <w:rsid w:val="00E31B24"/>
    <w:rsid w:val="00E33FA6"/>
    <w:rsid w:val="00E358D3"/>
    <w:rsid w:val="00E4202E"/>
    <w:rsid w:val="00E63A48"/>
    <w:rsid w:val="00E65F09"/>
    <w:rsid w:val="00E744EB"/>
    <w:rsid w:val="00E80BD0"/>
    <w:rsid w:val="00EA7617"/>
    <w:rsid w:val="00EA7AC3"/>
    <w:rsid w:val="00EB5A89"/>
    <w:rsid w:val="00ED11E0"/>
    <w:rsid w:val="00EE5A5F"/>
    <w:rsid w:val="00EF2B77"/>
    <w:rsid w:val="00EF3DB4"/>
    <w:rsid w:val="00EF4A5B"/>
    <w:rsid w:val="00F15381"/>
    <w:rsid w:val="00F202D5"/>
    <w:rsid w:val="00F23810"/>
    <w:rsid w:val="00F27B4D"/>
    <w:rsid w:val="00F351C7"/>
    <w:rsid w:val="00F43053"/>
    <w:rsid w:val="00F50032"/>
    <w:rsid w:val="00F71920"/>
    <w:rsid w:val="00F7752F"/>
    <w:rsid w:val="00F827D7"/>
    <w:rsid w:val="00F916D4"/>
    <w:rsid w:val="00F9292D"/>
    <w:rsid w:val="00F95D7E"/>
    <w:rsid w:val="00F96E37"/>
    <w:rsid w:val="00FA667F"/>
    <w:rsid w:val="00FC0432"/>
    <w:rsid w:val="00FD0A2E"/>
    <w:rsid w:val="00FE43AE"/>
    <w:rsid w:val="00FF6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5AA9D19"/>
  <w14:defaultImageDpi w14:val="330"/>
  <w15:docId w15:val="{60E140A6-1A4D-4CF7-9893-37463D13E0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F2F31"/>
    <w:pPr>
      <w:spacing w:before="60" w:after="240" w:line="276" w:lineRule="auto"/>
    </w:pPr>
    <w:rPr>
      <w:rFonts w:ascii="Arial" w:hAnsi="Arial"/>
      <w:color w:val="000000" w:themeColor="text1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D5EF6"/>
    <w:pPr>
      <w:spacing w:before="480" w:after="120" w:line="240" w:lineRule="auto"/>
      <w:outlineLvl w:val="0"/>
    </w:pPr>
    <w:rPr>
      <w:rFonts w:asciiTheme="minorHAnsi" w:eastAsia="MS PGothic" w:hAnsiTheme="minorHAnsi" w:cstheme="minorHAnsi"/>
      <w:b/>
      <w:caps/>
      <w:sz w:val="48"/>
      <w:szCs w:val="48"/>
    </w:rPr>
  </w:style>
  <w:style w:type="paragraph" w:styleId="Heading2">
    <w:name w:val="heading 2"/>
    <w:basedOn w:val="Heading1"/>
    <w:next w:val="Normal"/>
    <w:link w:val="Heading2Char"/>
    <w:autoRedefine/>
    <w:uiPriority w:val="9"/>
    <w:unhideWhenUsed/>
    <w:qFormat/>
    <w:rsid w:val="000723F0"/>
    <w:pPr>
      <w:spacing w:before="360" w:after="60"/>
      <w:outlineLvl w:val="1"/>
    </w:pPr>
    <w:rPr>
      <w:caps w:val="0"/>
      <w:sz w:val="40"/>
      <w:szCs w:val="40"/>
    </w:rPr>
  </w:style>
  <w:style w:type="paragraph" w:styleId="Heading3">
    <w:name w:val="heading 3"/>
    <w:basedOn w:val="Heading2"/>
    <w:next w:val="Normal"/>
    <w:link w:val="Heading3Char"/>
    <w:autoRedefine/>
    <w:uiPriority w:val="9"/>
    <w:unhideWhenUsed/>
    <w:qFormat/>
    <w:rsid w:val="000723F0"/>
    <w:pPr>
      <w:outlineLvl w:val="2"/>
    </w:pPr>
    <w:rPr>
      <w:rFonts w:eastAsiaTheme="majorEastAsia" w:cstheme="majorBidi"/>
      <w:b w:val="0"/>
      <w:caps/>
      <w:sz w:val="32"/>
      <w:szCs w:val="32"/>
    </w:rPr>
  </w:style>
  <w:style w:type="paragraph" w:styleId="Heading4">
    <w:name w:val="heading 4"/>
    <w:basedOn w:val="Heading3"/>
    <w:next w:val="Normal"/>
    <w:link w:val="Heading4Char"/>
    <w:uiPriority w:val="9"/>
    <w:unhideWhenUsed/>
    <w:qFormat/>
    <w:rsid w:val="000723F0"/>
    <w:pPr>
      <w:spacing w:after="240"/>
      <w:outlineLvl w:val="3"/>
    </w:pPr>
    <w:rPr>
      <w:rFonts w:eastAsiaTheme="minorEastAsia" w:cs="Arial"/>
      <w:b/>
      <w:bCs/>
      <w:iCs/>
      <w:caps w:val="0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E00065"/>
    <w:pPr>
      <w:keepNext/>
      <w:keepLines/>
      <w:spacing w:before="360" w:after="120"/>
      <w:outlineLvl w:val="4"/>
    </w:pPr>
    <w:rPr>
      <w:rFonts w:asciiTheme="minorHAnsi" w:eastAsiaTheme="majorEastAsia" w:hAnsiTheme="minorHAnsi" w:cstheme="minorHAnsi"/>
      <w:caps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063AD"/>
    <w:pPr>
      <w:keepNext/>
      <w:keepLines/>
      <w:spacing w:before="200" w:after="0"/>
      <w:outlineLvl w:val="5"/>
    </w:pPr>
    <w:rPr>
      <w:rFonts w:asciiTheme="minorHAnsi" w:eastAsiaTheme="majorEastAsia" w:hAnsiTheme="minorHAnsi" w:cstheme="minorHAnsi"/>
      <w:b/>
      <w:i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1B7A94"/>
    <w:pPr>
      <w:keepNext/>
      <w:keepLines/>
      <w:spacing w:before="240" w:after="120" w:line="240" w:lineRule="auto"/>
      <w:outlineLvl w:val="6"/>
    </w:pPr>
    <w:rPr>
      <w:rFonts w:asciiTheme="minorHAnsi" w:eastAsiaTheme="majorEastAsia" w:hAnsiTheme="minorHAnsi" w:cstheme="minorHAnsi"/>
      <w:iCs/>
      <w:color w:val="0087CD" w:themeColor="text2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1B7A94"/>
    <w:pPr>
      <w:keepNext/>
      <w:keepLines/>
      <w:spacing w:before="240" w:after="120" w:line="240" w:lineRule="auto"/>
      <w:outlineLvl w:val="7"/>
    </w:pPr>
    <w:rPr>
      <w:rFonts w:asciiTheme="minorHAnsi" w:eastAsiaTheme="majorEastAsia" w:hAnsiTheme="minorHAnsi" w:cstheme="minorHAnsi"/>
      <w:b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1B7A94"/>
    <w:pPr>
      <w:keepNext/>
      <w:keepLines/>
      <w:spacing w:before="240" w:after="120" w:line="240" w:lineRule="auto"/>
      <w:outlineLvl w:val="8"/>
    </w:pPr>
    <w:rPr>
      <w:rFonts w:asciiTheme="minorHAnsi" w:eastAsiaTheme="majorEastAsia" w:hAnsiTheme="minorHAnsi" w:cstheme="minorHAnsi"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qFormat/>
    <w:rsid w:val="004D09C4"/>
    <w:pPr>
      <w:tabs>
        <w:tab w:val="center" w:pos="4320"/>
        <w:tab w:val="right" w:pos="864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09C4"/>
    <w:rPr>
      <w:rFonts w:ascii="Arial" w:hAnsi="Arial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6127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277A"/>
  </w:style>
  <w:style w:type="paragraph" w:styleId="BalloonText">
    <w:name w:val="Balloon Text"/>
    <w:basedOn w:val="Normal"/>
    <w:link w:val="BalloonTextChar"/>
    <w:uiPriority w:val="99"/>
    <w:semiHidden/>
    <w:unhideWhenUsed/>
    <w:rsid w:val="0061277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77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aliases w:val="List Numbered"/>
    <w:basedOn w:val="Normal"/>
    <w:autoRedefine/>
    <w:uiPriority w:val="34"/>
    <w:qFormat/>
    <w:rsid w:val="00B22D0B"/>
    <w:pPr>
      <w:numPr>
        <w:numId w:val="34"/>
      </w:numPr>
      <w:spacing w:after="120" w:line="300" w:lineRule="auto"/>
    </w:pPr>
  </w:style>
  <w:style w:type="paragraph" w:customStyle="1" w:styleId="FinePrint">
    <w:name w:val="Fine Print"/>
    <w:next w:val="Normal"/>
    <w:autoRedefine/>
    <w:qFormat/>
    <w:rsid w:val="000D156A"/>
    <w:pPr>
      <w:widowControl w:val="0"/>
      <w:autoSpaceDE w:val="0"/>
      <w:autoSpaceDN w:val="0"/>
      <w:adjustRightInd w:val="0"/>
      <w:spacing w:before="240" w:after="360"/>
    </w:pPr>
    <w:rPr>
      <w:rFonts w:ascii="Arial" w:hAnsi="Arial" w:cs="Calibri"/>
      <w:bCs/>
      <w:color w:val="000000" w:themeColor="text1"/>
      <w:sz w:val="18"/>
      <w:szCs w:val="20"/>
    </w:rPr>
  </w:style>
  <w:style w:type="character" w:styleId="Emphasis">
    <w:name w:val="Emphasis"/>
    <w:basedOn w:val="DefaultParagraphFont"/>
    <w:uiPriority w:val="20"/>
    <w:qFormat/>
    <w:rsid w:val="0061277A"/>
    <w:rPr>
      <w:i/>
      <w:iCs/>
    </w:rPr>
  </w:style>
  <w:style w:type="paragraph" w:styleId="Title">
    <w:name w:val="Title"/>
    <w:aliases w:val="Section Title"/>
    <w:basedOn w:val="Normal"/>
    <w:next w:val="Normal"/>
    <w:link w:val="TitleChar"/>
    <w:autoRedefine/>
    <w:uiPriority w:val="10"/>
    <w:qFormat/>
    <w:rsid w:val="003C2DC5"/>
    <w:pPr>
      <w:keepNext/>
      <w:keepLines/>
      <w:pBdr>
        <w:bottom w:val="single" w:sz="18" w:space="1" w:color="939598" w:themeColor="accent1"/>
      </w:pBdr>
      <w:suppressAutoHyphens/>
      <w:spacing w:before="840" w:after="480" w:line="720" w:lineRule="exact"/>
      <w:contextualSpacing/>
    </w:pPr>
    <w:rPr>
      <w:rFonts w:asciiTheme="minorHAnsi" w:eastAsia="MS PGothic" w:hAnsiTheme="minorHAnsi" w:cs="Arial (Body)"/>
      <w:b/>
      <w:bCs/>
      <w:caps/>
      <w:color w:val="0087CD" w:themeColor="text2"/>
      <w:position w:val="8"/>
      <w:sz w:val="36"/>
      <w:szCs w:val="36"/>
    </w:rPr>
  </w:style>
  <w:style w:type="character" w:customStyle="1" w:styleId="TitleChar">
    <w:name w:val="Title Char"/>
    <w:aliases w:val="Section Title Char"/>
    <w:basedOn w:val="DefaultParagraphFont"/>
    <w:link w:val="Title"/>
    <w:uiPriority w:val="10"/>
    <w:rsid w:val="003C2DC5"/>
    <w:rPr>
      <w:rFonts w:eastAsia="MS PGothic" w:cs="Arial (Body)"/>
      <w:b/>
      <w:bCs/>
      <w:caps/>
      <w:color w:val="0087CD" w:themeColor="text2"/>
      <w:position w:val="8"/>
      <w:sz w:val="36"/>
      <w:szCs w:val="36"/>
    </w:rPr>
  </w:style>
  <w:style w:type="character" w:styleId="SubtleEmphasis">
    <w:name w:val="Subtle Emphasis"/>
    <w:basedOn w:val="DefaultParagraphFont"/>
    <w:uiPriority w:val="19"/>
    <w:rsid w:val="004D09C4"/>
    <w:rPr>
      <w:i/>
      <w:iCs/>
      <w:color w:val="808080" w:themeColor="text1" w:themeTint="7F"/>
    </w:rPr>
  </w:style>
  <w:style w:type="character" w:customStyle="1" w:styleId="Heading1Char">
    <w:name w:val="Heading 1 Char"/>
    <w:basedOn w:val="DefaultParagraphFont"/>
    <w:link w:val="Heading1"/>
    <w:uiPriority w:val="9"/>
    <w:rsid w:val="005D5EF6"/>
    <w:rPr>
      <w:rFonts w:eastAsia="MS PGothic" w:cstheme="minorHAnsi"/>
      <w:b/>
      <w:caps/>
      <w:color w:val="000000" w:themeColor="text1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0723F0"/>
    <w:rPr>
      <w:rFonts w:eastAsia="MS PGothic" w:cstheme="minorHAnsi"/>
      <w:b/>
      <w:color w:val="000000" w:themeColor="text1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0723F0"/>
    <w:rPr>
      <w:rFonts w:eastAsiaTheme="majorEastAsia" w:cstheme="majorBidi"/>
      <w:caps/>
      <w:color w:val="000000" w:themeColor="text1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0723F0"/>
    <w:rPr>
      <w:rFonts w:cs="Arial"/>
      <w:b/>
      <w:bCs/>
      <w:iCs/>
      <w:color w:val="000000" w:themeColor="text1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E00065"/>
    <w:rPr>
      <w:rFonts w:eastAsiaTheme="majorEastAsia" w:cstheme="minorHAnsi"/>
      <w:caps/>
      <w:color w:val="000000" w:themeColor="text1"/>
    </w:rPr>
  </w:style>
  <w:style w:type="character" w:customStyle="1" w:styleId="Heading6Char">
    <w:name w:val="Heading 6 Char"/>
    <w:basedOn w:val="DefaultParagraphFont"/>
    <w:link w:val="Heading6"/>
    <w:uiPriority w:val="9"/>
    <w:rsid w:val="008063AD"/>
    <w:rPr>
      <w:rFonts w:eastAsiaTheme="majorEastAsia" w:cstheme="minorHAnsi"/>
      <w:b/>
      <w:iCs/>
      <w:color w:val="000000" w:themeColor="text1"/>
      <w:sz w:val="22"/>
      <w:szCs w:val="22"/>
    </w:rPr>
  </w:style>
  <w:style w:type="paragraph" w:customStyle="1" w:styleId="DocumentTitle">
    <w:name w:val="Document Title"/>
    <w:basedOn w:val="Title"/>
    <w:autoRedefine/>
    <w:qFormat/>
    <w:rsid w:val="00D8709B"/>
    <w:pPr>
      <w:pBdr>
        <w:bottom w:val="none" w:sz="0" w:space="0" w:color="auto"/>
      </w:pBdr>
      <w:spacing w:before="0" w:after="0" w:line="216" w:lineRule="auto"/>
    </w:pPr>
    <w:rPr>
      <w:rFonts w:asciiTheme="majorHAnsi" w:hAnsiTheme="majorHAnsi" w:cstheme="minorHAnsi"/>
      <w:b w:val="0"/>
      <w:color w:val="000000" w:themeColor="text1"/>
      <w:sz w:val="72"/>
      <w:szCs w:val="72"/>
    </w:rPr>
  </w:style>
  <w:style w:type="table" w:styleId="TableGrid">
    <w:name w:val="Table Grid"/>
    <w:basedOn w:val="TableNormal"/>
    <w:uiPriority w:val="59"/>
    <w:rsid w:val="007B2B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">
    <w:name w:val="Light List"/>
    <w:basedOn w:val="TableNormal"/>
    <w:uiPriority w:val="61"/>
    <w:rsid w:val="007B2B7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Grid">
    <w:name w:val="Light Grid"/>
    <w:basedOn w:val="TableNormal"/>
    <w:uiPriority w:val="62"/>
    <w:rsid w:val="007B2B7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Shading-Accent6">
    <w:name w:val="Light Shading Accent 6"/>
    <w:basedOn w:val="TableNormal"/>
    <w:uiPriority w:val="60"/>
    <w:rsid w:val="007B2B78"/>
    <w:rPr>
      <w:color w:val="6D6F72" w:themeColor="accent6" w:themeShade="BF"/>
    </w:rPr>
    <w:tblPr>
      <w:tblStyleRowBandSize w:val="1"/>
      <w:tblStyleColBandSize w:val="1"/>
      <w:tblBorders>
        <w:top w:val="single" w:sz="8" w:space="0" w:color="939598" w:themeColor="accent6"/>
        <w:bottom w:val="single" w:sz="8" w:space="0" w:color="939598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39598" w:themeColor="accent6"/>
          <w:left w:val="nil"/>
          <w:bottom w:val="single" w:sz="8" w:space="0" w:color="939598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39598" w:themeColor="accent6"/>
          <w:left w:val="nil"/>
          <w:bottom w:val="single" w:sz="8" w:space="0" w:color="939598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E4E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E4E5" w:themeFill="accent6" w:themeFillTint="3F"/>
      </w:tcPr>
    </w:tblStylePr>
  </w:style>
  <w:style w:type="table" w:styleId="LightList-Accent2">
    <w:name w:val="Light List Accent 2"/>
    <w:basedOn w:val="TableNormal"/>
    <w:uiPriority w:val="61"/>
    <w:rsid w:val="007B2B78"/>
    <w:tblPr>
      <w:tblStyleRowBandSize w:val="1"/>
      <w:tblStyleColBandSize w:val="1"/>
      <w:tblBorders>
        <w:top w:val="single" w:sz="8" w:space="0" w:color="0087CE" w:themeColor="accent2"/>
        <w:left w:val="single" w:sz="8" w:space="0" w:color="0087CE" w:themeColor="accent2"/>
        <w:bottom w:val="single" w:sz="8" w:space="0" w:color="0087CE" w:themeColor="accent2"/>
        <w:right w:val="single" w:sz="8" w:space="0" w:color="0087CE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87CE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87CE" w:themeColor="accent2"/>
          <w:left w:val="single" w:sz="8" w:space="0" w:color="0087CE" w:themeColor="accent2"/>
          <w:bottom w:val="single" w:sz="8" w:space="0" w:color="0087CE" w:themeColor="accent2"/>
          <w:right w:val="single" w:sz="8" w:space="0" w:color="0087CE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87CE" w:themeColor="accent2"/>
          <w:left w:val="single" w:sz="8" w:space="0" w:color="0087CE" w:themeColor="accent2"/>
          <w:bottom w:val="single" w:sz="8" w:space="0" w:color="0087CE" w:themeColor="accent2"/>
          <w:right w:val="single" w:sz="8" w:space="0" w:color="0087CE" w:themeColor="accent2"/>
        </w:tcBorders>
      </w:tcPr>
    </w:tblStylePr>
    <w:tblStylePr w:type="band1Horz">
      <w:tblPr/>
      <w:tcPr>
        <w:tcBorders>
          <w:top w:val="single" w:sz="8" w:space="0" w:color="0087CE" w:themeColor="accent2"/>
          <w:left w:val="single" w:sz="8" w:space="0" w:color="0087CE" w:themeColor="accent2"/>
          <w:bottom w:val="single" w:sz="8" w:space="0" w:color="0087CE" w:themeColor="accent2"/>
          <w:right w:val="single" w:sz="8" w:space="0" w:color="0087CE" w:themeColor="accent2"/>
        </w:tcBorders>
      </w:tcPr>
    </w:tblStylePr>
  </w:style>
  <w:style w:type="table" w:styleId="LightList-Accent6">
    <w:name w:val="Light List Accent 6"/>
    <w:basedOn w:val="TableNormal"/>
    <w:uiPriority w:val="61"/>
    <w:rsid w:val="007B2B78"/>
    <w:tblPr>
      <w:tblStyleRowBandSize w:val="1"/>
      <w:tblStyleColBandSize w:val="1"/>
      <w:tblBorders>
        <w:top w:val="single" w:sz="8" w:space="0" w:color="939598" w:themeColor="accent6"/>
        <w:left w:val="single" w:sz="8" w:space="0" w:color="939598" w:themeColor="accent6"/>
        <w:bottom w:val="single" w:sz="8" w:space="0" w:color="939598" w:themeColor="accent6"/>
        <w:right w:val="single" w:sz="8" w:space="0" w:color="939598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3959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9598" w:themeColor="accent6"/>
          <w:left w:val="single" w:sz="8" w:space="0" w:color="939598" w:themeColor="accent6"/>
          <w:bottom w:val="single" w:sz="8" w:space="0" w:color="939598" w:themeColor="accent6"/>
          <w:right w:val="single" w:sz="8" w:space="0" w:color="93959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39598" w:themeColor="accent6"/>
          <w:left w:val="single" w:sz="8" w:space="0" w:color="939598" w:themeColor="accent6"/>
          <w:bottom w:val="single" w:sz="8" w:space="0" w:color="939598" w:themeColor="accent6"/>
          <w:right w:val="single" w:sz="8" w:space="0" w:color="939598" w:themeColor="accent6"/>
        </w:tcBorders>
      </w:tcPr>
    </w:tblStylePr>
    <w:tblStylePr w:type="band1Horz">
      <w:tblPr/>
      <w:tcPr>
        <w:tcBorders>
          <w:top w:val="single" w:sz="8" w:space="0" w:color="939598" w:themeColor="accent6"/>
          <w:left w:val="single" w:sz="8" w:space="0" w:color="939598" w:themeColor="accent6"/>
          <w:bottom w:val="single" w:sz="8" w:space="0" w:color="939598" w:themeColor="accent6"/>
          <w:right w:val="single" w:sz="8" w:space="0" w:color="939598" w:themeColor="accent6"/>
        </w:tcBorders>
      </w:tcPr>
    </w:tblStylePr>
  </w:style>
  <w:style w:type="table" w:styleId="LightShading">
    <w:name w:val="Light Shading"/>
    <w:basedOn w:val="TableNormal"/>
    <w:uiPriority w:val="60"/>
    <w:rsid w:val="007B2B78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TableColumnHeader">
    <w:name w:val="Table Column Header"/>
    <w:basedOn w:val="Normal"/>
    <w:qFormat/>
    <w:rsid w:val="00E1150C"/>
    <w:pPr>
      <w:framePr w:hSpace="187" w:wrap="around" w:vAnchor="text" w:hAnchor="page" w:x="1196" w:y="1"/>
      <w:spacing w:after="60"/>
    </w:pPr>
    <w:rPr>
      <w:caps/>
      <w:color w:val="FFFFFF" w:themeColor="background1"/>
    </w:rPr>
  </w:style>
  <w:style w:type="table" w:styleId="ColorfulGrid">
    <w:name w:val="Colorful Grid"/>
    <w:basedOn w:val="TableNormal"/>
    <w:uiPriority w:val="73"/>
    <w:rsid w:val="007B2B78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6">
    <w:name w:val="Colorful Grid Accent 6"/>
    <w:basedOn w:val="TableNormal"/>
    <w:uiPriority w:val="73"/>
    <w:rsid w:val="007B2B78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E9EA" w:themeFill="accent6" w:themeFillTint="33"/>
    </w:tcPr>
    <w:tblStylePr w:type="firstRow">
      <w:rPr>
        <w:b/>
        <w:bCs/>
      </w:rPr>
      <w:tblPr/>
      <w:tcPr>
        <w:shd w:val="clear" w:color="auto" w:fill="D3D4D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3D4D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6D6F72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6D6F72" w:themeFill="accent6" w:themeFillShade="BF"/>
      </w:tcPr>
    </w:tblStylePr>
    <w:tblStylePr w:type="band1Vert">
      <w:tblPr/>
      <w:tcPr>
        <w:shd w:val="clear" w:color="auto" w:fill="C9CACB" w:themeFill="accent6" w:themeFillTint="7F"/>
      </w:tcPr>
    </w:tblStylePr>
    <w:tblStylePr w:type="band1Horz">
      <w:tblPr/>
      <w:tcPr>
        <w:shd w:val="clear" w:color="auto" w:fill="C9CACB" w:themeFill="accent6" w:themeFillTint="7F"/>
      </w:tcPr>
    </w:tblStylePr>
  </w:style>
  <w:style w:type="table" w:styleId="MediumShading1">
    <w:name w:val="Medium Shading 1"/>
    <w:basedOn w:val="TableNormal"/>
    <w:uiPriority w:val="63"/>
    <w:rsid w:val="007B2B78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TableText">
    <w:name w:val="Table Text"/>
    <w:basedOn w:val="Normal"/>
    <w:qFormat/>
    <w:rsid w:val="004D09C4"/>
    <w:pPr>
      <w:framePr w:hSpace="187" w:wrap="around" w:vAnchor="text" w:hAnchor="page" w:x="1196" w:y="1"/>
      <w:spacing w:before="180" w:after="360" w:line="240" w:lineRule="auto"/>
    </w:pPr>
    <w:rPr>
      <w:rFonts w:eastAsiaTheme="majorEastAsia" w:cstheme="majorBidi"/>
      <w:bCs/>
    </w:rPr>
  </w:style>
  <w:style w:type="paragraph" w:styleId="ListBullet">
    <w:name w:val="List Bullet"/>
    <w:basedOn w:val="ListParagraph"/>
    <w:autoRedefine/>
    <w:uiPriority w:val="99"/>
    <w:unhideWhenUsed/>
    <w:qFormat/>
    <w:rsid w:val="00D8709B"/>
    <w:pPr>
      <w:numPr>
        <w:numId w:val="39"/>
      </w:numPr>
    </w:pPr>
  </w:style>
  <w:style w:type="numbering" w:customStyle="1" w:styleId="BulletedList">
    <w:name w:val="Bulleted List"/>
    <w:basedOn w:val="NoList"/>
    <w:uiPriority w:val="99"/>
    <w:rsid w:val="001361C9"/>
    <w:pPr>
      <w:numPr>
        <w:numId w:val="24"/>
      </w:numPr>
    </w:pPr>
  </w:style>
  <w:style w:type="table" w:customStyle="1" w:styleId="TableSimple">
    <w:name w:val="Table Simple"/>
    <w:basedOn w:val="TableGrid"/>
    <w:uiPriority w:val="99"/>
    <w:rsid w:val="00E1150C"/>
    <w:rPr>
      <w:rFonts w:ascii="Arial" w:hAnsi="Arial"/>
    </w:rPr>
    <w:tblPr>
      <w:tblBorders>
        <w:top w:val="single" w:sz="2" w:space="0" w:color="C4C4C4"/>
        <w:left w:val="single" w:sz="2" w:space="0" w:color="C4C4C4"/>
        <w:bottom w:val="single" w:sz="2" w:space="0" w:color="C4C4C4"/>
        <w:right w:val="single" w:sz="2" w:space="0" w:color="C4C4C4"/>
        <w:insideH w:val="single" w:sz="2" w:space="0" w:color="C4C4C4"/>
        <w:insideV w:val="single" w:sz="2" w:space="0" w:color="C4C4C4"/>
      </w:tblBorders>
    </w:tblPr>
    <w:tblStylePr w:type="firstRow">
      <w:pPr>
        <w:wordWrap/>
        <w:spacing w:beforeLines="0" w:before="120" w:beforeAutospacing="0" w:afterLines="0" w:after="60" w:afterAutospacing="0" w:line="240" w:lineRule="auto"/>
        <w:jc w:val="left"/>
      </w:pPr>
      <w:rPr>
        <w:rFonts w:ascii="Arial" w:hAnsi="Arial"/>
        <w:b w:val="0"/>
        <w:bCs/>
        <w:color w:val="FFFFFF" w:themeColor="background1"/>
        <w:sz w:val="24"/>
      </w:rPr>
      <w:tblPr/>
      <w:tcPr>
        <w:tcBorders>
          <w:top w:val="single" w:sz="2" w:space="0" w:color="C4C4C4"/>
          <w:left w:val="single" w:sz="2" w:space="0" w:color="C4C4C4"/>
          <w:bottom w:val="single" w:sz="2" w:space="0" w:color="C4C4C4"/>
          <w:right w:val="single" w:sz="2" w:space="0" w:color="C4C4C4"/>
          <w:insideH w:val="nil"/>
          <w:insideV w:val="nil"/>
          <w:tl2br w:val="nil"/>
          <w:tr2bl w:val="nil"/>
        </w:tcBorders>
        <w:shd w:val="clear" w:color="auto" w:fill="939598" w:themeFill="accent4"/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rFonts w:ascii="Arial" w:hAnsi="Arial"/>
        <w:b/>
        <w:bCs/>
        <w:color w:val="auto"/>
        <w:sz w:val="24"/>
      </w:rPr>
    </w:tblStylePr>
    <w:tblStylePr w:type="lastCol">
      <w:rPr>
        <w:b/>
        <w:bCs/>
      </w:rPr>
    </w:tblStylePr>
  </w:style>
  <w:style w:type="table" w:styleId="LightGrid-Accent5">
    <w:name w:val="Light Grid Accent 5"/>
    <w:basedOn w:val="TableNormal"/>
    <w:uiPriority w:val="62"/>
    <w:rsid w:val="000401B5"/>
    <w:tblPr>
      <w:tblStyleRowBandSize w:val="1"/>
      <w:tblStyleColBandSize w:val="1"/>
      <w:tblBorders>
        <w:top w:val="single" w:sz="8" w:space="0" w:color="FFFFFF" w:themeColor="accent5"/>
        <w:left w:val="single" w:sz="8" w:space="0" w:color="FFFFFF" w:themeColor="accent5"/>
        <w:bottom w:val="single" w:sz="8" w:space="0" w:color="FFFFFF" w:themeColor="accent5"/>
        <w:right w:val="single" w:sz="8" w:space="0" w:color="FFFFFF" w:themeColor="accent5"/>
        <w:insideH w:val="single" w:sz="8" w:space="0" w:color="FFFFFF" w:themeColor="accent5"/>
        <w:insideV w:val="single" w:sz="8" w:space="0" w:color="FFFFF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5"/>
          <w:left w:val="single" w:sz="8" w:space="0" w:color="FFFFFF" w:themeColor="accent5"/>
          <w:bottom w:val="single" w:sz="18" w:space="0" w:color="FFFFFF" w:themeColor="accent5"/>
          <w:right w:val="single" w:sz="8" w:space="0" w:color="FFFFFF" w:themeColor="accent5"/>
          <w:insideH w:val="nil"/>
          <w:insideV w:val="single" w:sz="8" w:space="0" w:color="FFFFF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FFFF" w:themeColor="accent5"/>
          <w:left w:val="single" w:sz="8" w:space="0" w:color="FFFFFF" w:themeColor="accent5"/>
          <w:bottom w:val="single" w:sz="8" w:space="0" w:color="FFFFFF" w:themeColor="accent5"/>
          <w:right w:val="single" w:sz="8" w:space="0" w:color="FFFFFF" w:themeColor="accent5"/>
          <w:insideH w:val="nil"/>
          <w:insideV w:val="single" w:sz="8" w:space="0" w:color="FFFFF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5"/>
          <w:left w:val="single" w:sz="8" w:space="0" w:color="FFFFFF" w:themeColor="accent5"/>
          <w:bottom w:val="single" w:sz="8" w:space="0" w:color="FFFFFF" w:themeColor="accent5"/>
          <w:right w:val="single" w:sz="8" w:space="0" w:color="FFFFFF" w:themeColor="accent5"/>
        </w:tcBorders>
      </w:tcPr>
    </w:tblStylePr>
    <w:tblStylePr w:type="band1Vert">
      <w:tblPr/>
      <w:tcPr>
        <w:tcBorders>
          <w:top w:val="single" w:sz="8" w:space="0" w:color="FFFFFF" w:themeColor="accent5"/>
          <w:left w:val="single" w:sz="8" w:space="0" w:color="FFFFFF" w:themeColor="accent5"/>
          <w:bottom w:val="single" w:sz="8" w:space="0" w:color="FFFFFF" w:themeColor="accent5"/>
          <w:right w:val="single" w:sz="8" w:space="0" w:color="FFFFFF" w:themeColor="accent5"/>
        </w:tcBorders>
        <w:shd w:val="clear" w:color="auto" w:fill="FFFFFF" w:themeFill="accent5" w:themeFillTint="3F"/>
      </w:tcPr>
    </w:tblStylePr>
    <w:tblStylePr w:type="band1Horz">
      <w:tblPr/>
      <w:tcPr>
        <w:tcBorders>
          <w:top w:val="single" w:sz="8" w:space="0" w:color="FFFFFF" w:themeColor="accent5"/>
          <w:left w:val="single" w:sz="8" w:space="0" w:color="FFFFFF" w:themeColor="accent5"/>
          <w:bottom w:val="single" w:sz="8" w:space="0" w:color="FFFFFF" w:themeColor="accent5"/>
          <w:right w:val="single" w:sz="8" w:space="0" w:color="FFFFFF" w:themeColor="accent5"/>
          <w:insideV w:val="single" w:sz="8" w:space="0" w:color="FFFFFF" w:themeColor="accent5"/>
        </w:tcBorders>
        <w:shd w:val="clear" w:color="auto" w:fill="FFFFFF" w:themeFill="accent5" w:themeFillTint="3F"/>
      </w:tcPr>
    </w:tblStylePr>
    <w:tblStylePr w:type="band2Horz">
      <w:tblPr/>
      <w:tcPr>
        <w:tcBorders>
          <w:top w:val="single" w:sz="8" w:space="0" w:color="FFFFFF" w:themeColor="accent5"/>
          <w:left w:val="single" w:sz="8" w:space="0" w:color="FFFFFF" w:themeColor="accent5"/>
          <w:bottom w:val="single" w:sz="8" w:space="0" w:color="FFFFFF" w:themeColor="accent5"/>
          <w:right w:val="single" w:sz="8" w:space="0" w:color="FFFFFF" w:themeColor="accent5"/>
          <w:insideV w:val="single" w:sz="8" w:space="0" w:color="FFFFFF" w:themeColor="accent5"/>
        </w:tcBorders>
      </w:tcPr>
    </w:tblStylePr>
  </w:style>
  <w:style w:type="table" w:styleId="MediumShading2-Accent5">
    <w:name w:val="Medium Shading 2 Accent 5"/>
    <w:basedOn w:val="TableNormal"/>
    <w:uiPriority w:val="64"/>
    <w:rsid w:val="000401B5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0401B5"/>
    <w:rPr>
      <w:rFonts w:ascii="Arial" w:eastAsiaTheme="majorEastAsia" w:hAnsi="Arial" w:cstheme="majorBidi"/>
      <w:color w:val="000000" w:themeColor="text1"/>
    </w:rPr>
    <w:tblPr>
      <w:tblStyleRowBandSize w:val="1"/>
      <w:tblStyleColBandSize w:val="1"/>
      <w:tblBorders>
        <w:top w:val="single" w:sz="8" w:space="0" w:color="FFFFFF" w:themeColor="accent5"/>
        <w:left w:val="single" w:sz="8" w:space="0" w:color="FFFFFF" w:themeColor="accent5"/>
        <w:bottom w:val="single" w:sz="8" w:space="0" w:color="FFFFFF" w:themeColor="accent5"/>
        <w:right w:val="single" w:sz="8" w:space="0" w:color="FFFFFF" w:themeColor="accent5"/>
      </w:tblBorders>
    </w:tblPr>
    <w:tblStylePr w:type="firstRow">
      <w:rPr>
        <w:rFonts w:ascii="Arial" w:hAnsi="Arial"/>
        <w:b/>
        <w:i w:val="0"/>
        <w:color w:val="auto"/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FFFF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rFonts w:ascii="Arial" w:hAnsi="Arial"/>
        <w:b/>
        <w:i w:val="0"/>
        <w:sz w:val="24"/>
      </w:rPr>
      <w:tblPr/>
      <w:tcPr>
        <w:tcBorders>
          <w:top w:val="nil"/>
          <w:left w:val="nil"/>
          <w:bottom w:val="nil"/>
          <w:right w:val="single" w:sz="8" w:space="0" w:color="FFFFF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FFF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styleId="Hyperlink">
    <w:name w:val="Hyperlink"/>
    <w:basedOn w:val="DefaultParagraphFont"/>
    <w:uiPriority w:val="99"/>
    <w:unhideWhenUsed/>
    <w:qFormat/>
    <w:rsid w:val="00B22D0B"/>
    <w:rPr>
      <w:color w:val="0087CD" w:themeColor="text2"/>
      <w:u w:val="single"/>
    </w:rPr>
  </w:style>
  <w:style w:type="character" w:styleId="FollowedHyperlink">
    <w:name w:val="FollowedHyperlink"/>
    <w:basedOn w:val="Hyperlink"/>
    <w:uiPriority w:val="99"/>
    <w:unhideWhenUsed/>
    <w:rsid w:val="00D8709B"/>
    <w:rPr>
      <w:b w:val="0"/>
      <w:color w:val="0087CD" w:themeColor="text2"/>
      <w:u w:val="single"/>
    </w:rPr>
  </w:style>
  <w:style w:type="paragraph" w:customStyle="1" w:styleId="TextBoxflowchartshape">
    <w:name w:val="Text Box (flow chart shape)"/>
    <w:basedOn w:val="Normal"/>
    <w:qFormat/>
    <w:rsid w:val="004D09C4"/>
    <w:pPr>
      <w:spacing w:after="120" w:line="240" w:lineRule="auto"/>
      <w:jc w:val="center"/>
    </w:pPr>
    <w:rPr>
      <w:b/>
      <w:bCs/>
      <w:caps/>
      <w:color w:val="FFFFFF" w:themeColor="background1"/>
    </w:rPr>
  </w:style>
  <w:style w:type="paragraph" w:customStyle="1" w:styleId="SecondaryTitle">
    <w:name w:val="Secondary Title"/>
    <w:basedOn w:val="Normal"/>
    <w:autoRedefine/>
    <w:qFormat/>
    <w:rsid w:val="00D8709B"/>
    <w:pPr>
      <w:spacing w:before="0" w:after="120"/>
    </w:pPr>
    <w:rPr>
      <w:color w:val="0087CD" w:themeColor="text2"/>
      <w:sz w:val="32"/>
      <w:szCs w:val="32"/>
    </w:rPr>
  </w:style>
  <w:style w:type="character" w:styleId="Strong">
    <w:name w:val="Strong"/>
    <w:basedOn w:val="DefaultParagraphFont"/>
    <w:uiPriority w:val="22"/>
    <w:qFormat/>
    <w:rsid w:val="004D09C4"/>
    <w:rPr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3910C5"/>
    <w:pPr>
      <w:keepNext/>
      <w:keepLines/>
      <w:spacing w:after="0"/>
      <w:outlineLvl w:val="9"/>
    </w:pPr>
    <w:rPr>
      <w:rFonts w:asciiTheme="majorHAnsi" w:eastAsiaTheme="majorEastAsia" w:hAnsiTheme="majorHAnsi" w:cstheme="majorBidi"/>
      <w:bCs/>
      <w:color w:val="6D6F72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3910C5"/>
    <w:pPr>
      <w:spacing w:before="120" w:after="0"/>
    </w:pPr>
    <w:rPr>
      <w:rFonts w:asciiTheme="minorHAnsi" w:hAnsiTheme="minorHAnsi" w:cstheme="minorHAnsi"/>
      <w:b/>
      <w:caps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3910C5"/>
    <w:pPr>
      <w:spacing w:before="0" w:after="0"/>
      <w:ind w:left="240"/>
    </w:pPr>
    <w:rPr>
      <w:rFonts w:asciiTheme="minorHAnsi" w:hAnsiTheme="minorHAnsi" w:cstheme="minorHAnsi"/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3910C5"/>
    <w:pPr>
      <w:spacing w:before="0" w:after="0"/>
      <w:ind w:left="480"/>
    </w:pPr>
    <w:rPr>
      <w:rFonts w:asciiTheme="minorHAnsi" w:hAnsiTheme="minorHAnsi" w:cstheme="minorHAnsi"/>
      <w:i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3910C5"/>
    <w:pPr>
      <w:spacing w:before="0" w:after="0"/>
      <w:ind w:left="72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3910C5"/>
    <w:pPr>
      <w:spacing w:before="0" w:after="0"/>
      <w:ind w:left="96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3910C5"/>
    <w:pPr>
      <w:spacing w:before="0" w:after="0"/>
      <w:ind w:left="12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3910C5"/>
    <w:pPr>
      <w:spacing w:before="0" w:after="0"/>
      <w:ind w:left="144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3910C5"/>
    <w:pPr>
      <w:spacing w:before="0" w:after="0"/>
      <w:ind w:left="168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3910C5"/>
    <w:pPr>
      <w:spacing w:before="0" w:after="0"/>
      <w:ind w:left="1920"/>
    </w:pPr>
    <w:rPr>
      <w:rFonts w:asciiTheme="minorHAnsi" w:hAnsiTheme="minorHAnsi" w:cstheme="minorHAnsi"/>
      <w:sz w:val="18"/>
      <w:szCs w:val="18"/>
    </w:rPr>
  </w:style>
  <w:style w:type="paragraph" w:styleId="NormalWeb">
    <w:name w:val="Normal (Web)"/>
    <w:basedOn w:val="Normal"/>
    <w:uiPriority w:val="99"/>
    <w:unhideWhenUsed/>
    <w:rsid w:val="00FE43AE"/>
    <w:pPr>
      <w:spacing w:before="100" w:beforeAutospacing="1" w:after="100" w:afterAutospacing="1" w:line="240" w:lineRule="auto"/>
    </w:pPr>
    <w:rPr>
      <w:rFonts w:ascii="Times" w:hAnsi="Times" w:cs="Times New Roman"/>
      <w:color w:val="auto"/>
      <w:sz w:val="20"/>
      <w:szCs w:val="20"/>
    </w:rPr>
  </w:style>
  <w:style w:type="paragraph" w:styleId="Index4">
    <w:name w:val="index 4"/>
    <w:basedOn w:val="Normal"/>
    <w:next w:val="Normal"/>
    <w:autoRedefine/>
    <w:uiPriority w:val="99"/>
    <w:unhideWhenUsed/>
    <w:rsid w:val="0090065C"/>
    <w:pPr>
      <w:spacing w:before="0" w:after="0" w:line="240" w:lineRule="auto"/>
      <w:ind w:left="960" w:hanging="240"/>
    </w:pPr>
    <w:rPr>
      <w:rFonts w:ascii="Times New Roman" w:hAnsi="Times New Roman" w:cs="Times New Roman"/>
      <w:color w:val="auto"/>
    </w:rPr>
  </w:style>
  <w:style w:type="paragraph" w:customStyle="1" w:styleId="TableHeading">
    <w:name w:val="Table Heading"/>
    <w:basedOn w:val="Normal"/>
    <w:autoRedefine/>
    <w:qFormat/>
    <w:rsid w:val="00C8730C"/>
    <w:pPr>
      <w:framePr w:hSpace="187" w:wrap="around" w:vAnchor="text" w:hAnchor="page" w:x="1156" w:y="61"/>
      <w:spacing w:before="120" w:after="120" w:line="240" w:lineRule="auto"/>
      <w:ind w:right="-23"/>
    </w:pPr>
    <w:rPr>
      <w:b/>
      <w:caps/>
      <w:color w:val="FFFFFF" w:themeColor="background1"/>
    </w:rPr>
  </w:style>
  <w:style w:type="paragraph" w:customStyle="1" w:styleId="DocumentSubtitle">
    <w:name w:val="Document Subtitle"/>
    <w:basedOn w:val="Normal"/>
    <w:autoRedefine/>
    <w:qFormat/>
    <w:rsid w:val="0033277B"/>
    <w:pPr>
      <w:spacing w:before="0" w:after="120" w:line="240" w:lineRule="auto"/>
    </w:pPr>
    <w:rPr>
      <w:color w:val="auto"/>
      <w:sz w:val="28"/>
      <w:szCs w:val="28"/>
    </w:rPr>
  </w:style>
  <w:style w:type="paragraph" w:customStyle="1" w:styleId="TableCaption">
    <w:name w:val="Table Caption"/>
    <w:autoRedefine/>
    <w:qFormat/>
    <w:rsid w:val="00106D81"/>
    <w:pPr>
      <w:spacing w:before="480"/>
    </w:pPr>
    <w:rPr>
      <w:rFonts w:ascii="Arial" w:hAnsi="Arial"/>
      <w:caps/>
      <w:color w:val="262626"/>
      <w:sz w:val="28"/>
      <w:szCs w:val="28"/>
    </w:rPr>
  </w:style>
  <w:style w:type="character" w:customStyle="1" w:styleId="Heading9Char">
    <w:name w:val="Heading 9 Char"/>
    <w:basedOn w:val="DefaultParagraphFont"/>
    <w:link w:val="Heading9"/>
    <w:uiPriority w:val="9"/>
    <w:rsid w:val="001B7A94"/>
    <w:rPr>
      <w:rFonts w:eastAsiaTheme="majorEastAsia" w:cstheme="minorHAnsi"/>
      <w:iCs/>
      <w:color w:val="272727" w:themeColor="text1" w:themeTint="D8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rsid w:val="001B7A94"/>
    <w:rPr>
      <w:rFonts w:eastAsiaTheme="majorEastAsia" w:cstheme="minorHAnsi"/>
      <w:b/>
      <w:color w:val="272727" w:themeColor="text1" w:themeTint="D8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rsid w:val="001B7A94"/>
    <w:rPr>
      <w:rFonts w:eastAsiaTheme="majorEastAsia" w:cstheme="minorHAnsi"/>
      <w:iCs/>
      <w:color w:val="0087CD" w:themeColor="text2"/>
      <w:sz w:val="22"/>
      <w:szCs w:val="22"/>
    </w:rPr>
  </w:style>
  <w:style w:type="table" w:customStyle="1" w:styleId="BTAAtable">
    <w:name w:val="BTAA table"/>
    <w:basedOn w:val="TableNormal"/>
    <w:uiPriority w:val="99"/>
    <w:rsid w:val="00B22D0B"/>
    <w:tblPr/>
  </w:style>
  <w:style w:type="character" w:customStyle="1" w:styleId="UnresolvedMention">
    <w:name w:val="Unresolved Mention"/>
    <w:basedOn w:val="DefaultParagraphFont"/>
    <w:uiPriority w:val="99"/>
    <w:semiHidden/>
    <w:unhideWhenUsed/>
    <w:rsid w:val="00C348D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670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store.hermanmiller.com/office/side-chairs/keyn-chair-4-leg-base/2197724.html?lang=en_US" TargetMode="External"/><Relationship Id="rId18" Type="http://schemas.openxmlformats.org/officeDocument/2006/relationships/hyperlink" Target="https://www.hermanmiller.com/products/workspaces/collaborative-furniture/glass-white-board/" TargetMode="External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www.mineraltiles.com/living-wall-moss-tile-green-16x24/?gclid=EAIaIQobChMI7Oe53bHX3gIVxrjACh2DGAGhEAQYAiABEgLliPD_BwE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hermanmiller.com/products/tables/conference-tables/intersect-tables/" TargetMode="External"/><Relationship Id="rId17" Type="http://schemas.openxmlformats.org/officeDocument/2006/relationships/hyperlink" Target="https://www.hermanmiller.com/products/storage/tu-storage/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store.hermanmiller.com/office/stools/caper-multipurpose-stool/2197693.html?lang=en_US" TargetMode="External"/><Relationship Id="rId20" Type="http://schemas.openxmlformats.org/officeDocument/2006/relationships/hyperlink" Target="https://www.hermanmiller.com/products/workspaces/collaborative-furniture/prospect-stools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dwr.com/sale-the-sofa-sale/softsquare/2195676.html?lang=en_US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www.hermanmiller.com/products/seating/office-chairs/caper-multipurpose-chair/" TargetMode="External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https://www.hermanmiller.com/products/workspaces/desks/envelop-desk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hermanmiller.com/products/tables/conference-tables/eames-tables/" TargetMode="External"/><Relationship Id="rId22" Type="http://schemas.openxmlformats.org/officeDocument/2006/relationships/hyperlink" Target="https://www.bestbuy.com/site/lg-65-class-led-uk6090pua-series-2160p-smart-4k-uhd-tv-with-hdr/6290164.p?skuId=6290164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btaa">
  <a:themeElements>
    <a:clrScheme name="BTAA 1">
      <a:dk1>
        <a:srgbClr val="000000"/>
      </a:dk1>
      <a:lt1>
        <a:srgbClr val="FFFFFF"/>
      </a:lt1>
      <a:dk2>
        <a:srgbClr val="0087CD"/>
      </a:dk2>
      <a:lt2>
        <a:srgbClr val="E7E6E6"/>
      </a:lt2>
      <a:accent1>
        <a:srgbClr val="939598"/>
      </a:accent1>
      <a:accent2>
        <a:srgbClr val="0087CE"/>
      </a:accent2>
      <a:accent3>
        <a:srgbClr val="000000"/>
      </a:accent3>
      <a:accent4>
        <a:srgbClr val="939598"/>
      </a:accent4>
      <a:accent5>
        <a:srgbClr val="FFFFFF"/>
      </a:accent5>
      <a:accent6>
        <a:srgbClr val="939598"/>
      </a:accent6>
      <a:hlink>
        <a:srgbClr val="0088CE"/>
      </a:hlink>
      <a:folHlink>
        <a:srgbClr val="0088CE"/>
      </a:folHlink>
    </a:clrScheme>
    <a:fontScheme name="Arial Black-Arial">
      <a:majorFont>
        <a:latin typeface="Arial Black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taa" id="{2893AD36-3057-A648-A592-60D470F2C46F}" vid="{DB32E2AC-99E0-EB48-B313-1C993AA66D8C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D8CF8CA-21E6-4BB4-82C1-DD213A5742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1435</Words>
  <Characters>8182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9598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Blythe, Laura Kathryn</cp:lastModifiedBy>
  <cp:revision>2</cp:revision>
  <cp:lastPrinted>2013-09-12T14:14:00Z</cp:lastPrinted>
  <dcterms:created xsi:type="dcterms:W3CDTF">2018-11-28T02:14:00Z</dcterms:created>
  <dcterms:modified xsi:type="dcterms:W3CDTF">2018-11-28T02:14:00Z</dcterms:modified>
  <cp:category/>
</cp:coreProperties>
</file>